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478397c3c6499f"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20:230.</w:t>
      </w:r>
      <w:r>
        <w:t xml:space="preserve"> </w:t>
      </w:r>
      <w:r>
        <w:t xml:space="preserve">Renewal of licenses.</w:t>
      </w:r>
    </w:p>
    <w:p>
      <w:pPr>
        <w:pStyle w:val="kar_markup_metadata"/>
      </w:pPr>
      <w:r>
        <w:t xml:space="preserve">RELATES TO: </w:t>
      </w:r>
      <w:r>
        <w:t xml:space="preserve">KRS 314.041, 314.051, 314.071, 314.073</w:t>
      </w:r>
    </w:p>
    <w:p>
      <w:pPr>
        <w:pStyle w:val="kar_markup_metadata"/>
      </w:pPr>
      <w:r>
        <w:t xml:space="preserve">STATUTORY AUTHORITY: </w:t>
      </w:r>
      <w:r>
        <w:t xml:space="preserve">KRS 314.131(1)</w:t>
      </w:r>
    </w:p>
    <w:p>
      <w:pPr>
        <w:pStyle w:val="kar_markup_metadata"/>
      </w:pPr>
      <w:r>
        <w:t xml:space="preserve">CERTIFICATION STATEMENT: </w:t>
      </w:r>
    </w:p>
    <w:p>
      <w:pPr>
        <w:pStyle w:val="kar_markup_metadata"/>
      </w:pPr>
      <w:r>
        <w:t xml:space="preserve">NECESSITY, FUNCTION, AND CONFORMITY: </w:t>
      </w:r>
      <w:r>
        <w:t xml:space="preserve">KRS 314.131(1) authorizes the board to promulgate administrative regulations to implement the provisions of KRS Chapter 314. This administrative regulation establishes requirements and procedures for the renewal of nursing licenses.</w:t>
      </w:r>
    </w:p>
    <w:p>
      <w:pPr>
        <w:pStyle w:val="kar_section"/>
      </w:pPr>
      <w:r>
        <w:t xml:space="preserve">Section 1.</w:t>
      </w:r>
      <w:r>
        <w:t xml:space="preserve"> </w:t>
      </w:r>
      <w:r>
        <w:t xml:space="preserve">Eligibility for Renewal of Licenses. To be eligible for renewal of licenses, applicants shall:</w:t>
      </w:r>
    </w:p>
    <w:p>
      <w:pPr>
        <w:pStyle w:val="kar_subsection"/>
      </w:pPr>
      <w:r>
        <w:t xml:space="preserve">(1)</w:t>
      </w:r>
      <w:r>
        <w:t xml:space="preserve"> </w:t>
      </w:r>
      <w:r>
        <w:t xml:space="preserve">Hold a valid and current license issued by the board;</w:t>
      </w:r>
    </w:p>
    <w:p>
      <w:pPr>
        <w:pStyle w:val="kar_subsection"/>
      </w:pPr>
      <w:r>
        <w:t xml:space="preserve">(2)</w:t>
      </w:r>
      <w:r>
        <w:t xml:space="preserve"> </w:t>
      </w:r>
      <w:r>
        <w:t xml:space="preserve">Submit a completed application form as required by 201 KAR 20:370 to the board</w:t>
      </w:r>
      <w:r>
        <w:t>[</w:t>
      </w:r>
      <w:r>
        <w:rPr>
          <w:strike w:val="true"/>
        </w:rPr>
        <w:t xml:space="preserve"> office</w:t>
      </w:r>
      <w:r>
        <w:t>]</w:t>
      </w:r>
      <w:r>
        <w:t xml:space="preserve">;</w:t>
      </w:r>
    </w:p>
    <w:p>
      <w:pPr>
        <w:pStyle w:val="kar_subsection"/>
      </w:pPr>
      <w:r>
        <w:t xml:space="preserve">(3)</w:t>
      </w:r>
      <w:r>
        <w:t xml:space="preserve"> </w:t>
      </w:r>
      <w:r>
        <w:t xml:space="preserve">Submit the current fee required by 201 KAR 20:240;</w:t>
      </w:r>
    </w:p>
    <w:p>
      <w:pPr>
        <w:pStyle w:val="kar_subsection"/>
      </w:pPr>
      <w:r>
        <w:t xml:space="preserve">(4)</w:t>
      </w:r>
      <w:r>
        <w:t xml:space="preserve"> </w:t>
      </w:r>
      <w:r>
        <w:t xml:space="preserve">Have met requirements of 201 KAR 20:215, if applicable;</w:t>
      </w:r>
    </w:p>
    <w:p>
      <w:pPr>
        <w:pStyle w:val="kar_subsection"/>
      </w:pPr>
      <w:r>
        <w:t xml:space="preserve">(5)</w:t>
      </w:r>
      <w:r>
        <w:t xml:space="preserve"> </w:t>
      </w:r>
      <w:r>
        <w:t xml:space="preserve">Submit certified copies of court records of any misdemeanor or felony convictions with a letter of explanation;</w:t>
      </w:r>
    </w:p>
    <w:p>
      <w:pPr>
        <w:pStyle w:val="kar_subsection"/>
      </w:pPr>
      <w:r>
        <w:t xml:space="preserve">(6)</w:t>
      </w:r>
      <w:r>
        <w:t xml:space="preserve"> </w:t>
      </w:r>
      <w:r>
        <w:t xml:space="preserve">Submit certified copies of any disciplinary actions taken in other jurisdictions with a letter of explanation or report any disciplinary action pending on nursing or other professional or business licenses in other jurisdictions; and</w:t>
      </w:r>
    </w:p>
    <w:p>
      <w:pPr>
        <w:pStyle w:val="kar_subsection"/>
      </w:pPr>
      <w:r>
        <w:t xml:space="preserve">(7)</w:t>
      </w:r>
      <w:r>
        <w:t xml:space="preserve"> </w:t>
      </w:r>
      <w:r>
        <w:t xml:space="preserve">Have paid all monies due to the board.</w:t>
      </w:r>
    </w:p>
    <w:p>
      <w:pPr>
        <w:pStyle w:val="kar_section"/>
      </w:pPr>
      <w:r>
        <w:t xml:space="preserve">Section 2.</w:t>
      </w:r>
      <w:r>
        <w:t xml:space="preserve"> </w:t>
      </w:r>
      <w:r>
        <w:t xml:space="preserve">The licensure period for renewal of licenses shall be as established in 201 KAR 20:085.</w:t>
      </w:r>
    </w:p>
    <w:p>
      <w:pPr>
        <w:pStyle w:val="kar_section"/>
      </w:pPr>
      <w:r>
        <w:t xml:space="preserve">Section 3.</w:t>
      </w:r>
      <w:r>
        <w:t xml:space="preserve"> </w:t>
      </w:r>
      <w:r>
        <w:t xml:space="preserve"> </w:t>
      </w:r>
    </w:p>
    <w:p>
      <w:pPr>
        <w:pStyle w:val="kar_subsection"/>
      </w:pPr>
      <w:r>
        <w:t xml:space="preserve">(1)</w:t>
      </w:r>
      <w:r>
        <w:t xml:space="preserve"> </w:t>
      </w:r>
      <w:r>
        <w:rPr>
          <w:u w:val="single"/>
        </w:rPr>
        <w:t xml:space="preserve">The</w:t>
      </w:r>
      <w:r>
        <w:t>[</w:t>
      </w:r>
      <w:r>
        <w:rPr>
          <w:strike w:val="true"/>
        </w:rPr>
        <w:t xml:space="preserve">If the</w:t>
      </w:r>
      <w:r>
        <w:t>]</w:t>
      </w:r>
      <w:r>
        <w:t xml:space="preserve"> application </w:t>
      </w:r>
      <w:r>
        <w:t>[</w:t>
      </w:r>
      <w:r>
        <w:rPr>
          <w:strike w:val="true"/>
        </w:rPr>
        <w:t xml:space="preserve">form is submitted on-line, it </w:t>
      </w:r>
      <w:r>
        <w:t>]</w:t>
      </w:r>
      <w:r>
        <w:t xml:space="preserve">shall be </w:t>
      </w:r>
      <w:r>
        <w:rPr>
          <w:u w:val="single"/>
        </w:rPr>
        <w:t xml:space="preserve">submitted online to</w:t>
      </w:r>
      <w:r>
        <w:t>[</w:t>
      </w:r>
      <w:r>
        <w:rPr>
          <w:strike w:val="true"/>
        </w:rPr>
        <w:t xml:space="preserve">received by</w:t>
      </w:r>
      <w:r>
        <w:t>]</w:t>
      </w:r>
      <w:r>
        <w:t xml:space="preserve"> the board prior to midnight on the last day of the licensure period.</w:t>
      </w:r>
    </w:p>
    <w:p>
      <w:pPr>
        <w:pStyle w:val="kar_subsection"/>
      </w:pPr>
      <w:r>
        <w:t xml:space="preserve">(2)</w:t>
      </w:r>
      <w:r>
        <w:t xml:space="preserve"> </w:t>
      </w:r>
      <w:r>
        <w:t>[</w:t>
      </w:r>
      <w:r>
        <w:rPr>
          <w:strike w:val="true"/>
        </w:rPr>
        <w:t xml:space="preserve">If a paper application is submitted, it shall be received no later than the last day of the licensure period. If the application is not received by the board until after the last day of the licensure period, the application shall have been postmarked at least seven (7) days prior to the last day of the licensure period.</w:t>
      </w:r>
      <w:r>
        <w:t>]</w:t>
      </w:r>
    </w:p>
    <w:p>
      <w:pPr>
        <w:pStyle w:val="kar_subsection"/>
      </w:pPr>
      <w:r>
        <w:t>[</w:t>
      </w:r>
      <w:r>
        <w:rPr>
          <w:strike w:val="true"/>
        </w:rPr>
        <w:t xml:space="preserve">(3)</w:t>
      </w:r>
      <w:r>
        <w:t>]</w:t>
      </w:r>
      <w:r>
        <w:t xml:space="preserve"> </w:t>
      </w:r>
      <w:r>
        <w:t xml:space="preserve">All information needed to determine that an applicant meets the requirements for renewal of licensure shall be </w:t>
      </w:r>
      <w:r>
        <w:rPr>
          <w:u w:val="single"/>
        </w:rPr>
        <w:t xml:space="preserve">submitted online to</w:t>
      </w:r>
      <w:r>
        <w:t>[</w:t>
      </w:r>
      <w:r>
        <w:rPr>
          <w:strike w:val="true"/>
        </w:rPr>
        <w:t xml:space="preserve">received by</w:t>
      </w:r>
      <w:r>
        <w:t>]</w:t>
      </w:r>
      <w:r>
        <w:t xml:space="preserve"> the board no later than </w:t>
      </w:r>
      <w:r>
        <w:rPr>
          <w:u w:val="single"/>
        </w:rPr>
        <w:t xml:space="preserve">midnight eastern time on </w:t>
      </w:r>
      <w:r>
        <w:t xml:space="preserve">the last day of the licensure period.</w:t>
      </w:r>
      <w:r>
        <w:t>[</w:t>
      </w:r>
      <w:r>
        <w:rPr>
          <w:strike w:val="true"/>
        </w:rPr>
        <w:t xml:space="preserve"> If the information is not received by the board until after the last day of the licensure period, in order to be considered by the board for the current renewal, the information shall have been postmarked at least seven (7) days prior to the last day of the licensure period</w:t>
      </w:r>
      <w:r>
        <w:t>]</w:t>
      </w:r>
      <w:r>
        <w:t xml:space="preserve">.</w:t>
      </w:r>
    </w:p>
    <w:p>
      <w:pPr>
        <w:pStyle w:val="kar_subsection"/>
      </w:pPr>
      <w:r>
        <w:rPr>
          <w:u w:val="single"/>
        </w:rPr>
        <w:t xml:space="preserve">(3)</w:t>
      </w:r>
      <w:r>
        <w:t>[</w:t>
      </w:r>
      <w:r>
        <w:rPr>
          <w:strike w:val="true"/>
        </w:rPr>
        <w:t xml:space="preserve">(4)</w:t>
      </w:r>
      <w:r>
        <w:t>]</w:t>
      </w:r>
      <w:r>
        <w:t xml:space="preserve"> </w:t>
      </w:r>
      <w:r>
        <w:t xml:space="preserve">Failure to comply with these requirements shall result in the license lapsing. A person whose license has lapsed shall comply with 201 KAR 20:225 to reinstate the license.</w:t>
      </w:r>
    </w:p>
    <w:p>
      <w:pPr>
        <w:pStyle w:val="kar_signature"/>
      </w:pPr>
      <w:r>
        <w:t xml:space="preserve">AUDRIA DENKER, President</w:t>
      </w:r>
    </w:p>
    <w:p>
      <w:pPr>
        <w:pStyle w:val="kar_approved_by"/>
      </w:pPr>
      <w:r>
        <w:t xml:space="preserve">APPROVED BY AGENCY: June 20, 2024</w:t>
      </w:r>
    </w:p>
    <w:p>
      <w:pPr>
        <w:pStyle w:val="kar_filed"/>
      </w:pPr>
      <w:r>
        <w:t xml:space="preserve">FILED WITH LRC: July 9, 2024 at 12:05 p.m.</w:t>
      </w:r>
    </w:p>
    <w:p>
      <w:pPr>
        <w:pStyle w:val="kar_comment_period"/>
      </w:pPr>
      <w:r>
        <w:t xml:space="preserve">PUBLIC HEARING AND PUBLIC COMMENT PERIOD: A public hearing on this administrative regulation shall be held on September 23, 2024 at 10:00 AM at Kentucky Board of Nursing, 312 Whittington Parkway, Ste 300, Louisville, Kentucky 40222. Individuals interested in being heard at this hearing shall notify this agency in writing by September 16, 2024,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2024.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sets requirements for renewal of a nurse’s license.</w:t>
      </w:r>
    </w:p>
    <w:p>
      <w:pPr>
        <w:pStyle w:val="kar_normal"/>
        <w:ind w:left="576"/>
      </w:pPr>
      <w:r>
        <w:t xml:space="preserve">(b) The necessity of this administrative regulation:</w:t>
      </w:r>
    </w:p>
    <w:p>
      <w:pPr>
        <w:pStyle w:val="kar_normal"/>
        <w:ind w:left="720"/>
      </w:pPr>
      <w:r>
        <w:t xml:space="preserve">This administrative regulation is necessary because of KRS 314.071.</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setting requirements for license renewal.</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setting requirements for license renewal.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clarifies the deadline for renewal applications that must be submitted online.</w:t>
      </w:r>
    </w:p>
    <w:p>
      <w:pPr>
        <w:pStyle w:val="kar_normal"/>
        <w:ind w:left="576"/>
      </w:pPr>
      <w:r>
        <w:t xml:space="preserve">(b) The necessity of the amendment to this administrative regulation:</w:t>
      </w:r>
    </w:p>
    <w:p>
      <w:pPr>
        <w:pStyle w:val="kar_normal"/>
        <w:ind w:left="720"/>
      </w:pPr>
      <w:r>
        <w:t xml:space="preserve">The administrative regulation is necessary to specifically set the deadlines.</w:t>
      </w:r>
    </w:p>
    <w:p>
      <w:pPr>
        <w:pStyle w:val="kar_normal"/>
        <w:ind w:left="576"/>
      </w:pPr>
      <w:r>
        <w:t xml:space="preserve">(c) How the amendment conforms to the content of the authorizing statutes:</w:t>
      </w:r>
    </w:p>
    <w:p>
      <w:pPr>
        <w:pStyle w:val="kar_normal"/>
        <w:ind w:left="720"/>
      </w:pPr>
      <w:r>
        <w:t xml:space="preserve">By setting clear deadlines and submission requirements.</w:t>
      </w:r>
    </w:p>
    <w:p>
      <w:pPr>
        <w:pStyle w:val="kar_normal"/>
        <w:ind w:left="576"/>
      </w:pPr>
      <w:r>
        <w:t xml:space="preserve">(d) How the amendment will assist in the effective administration of the statutes:</w:t>
      </w:r>
    </w:p>
    <w:p>
      <w:pPr>
        <w:pStyle w:val="kar_normal"/>
        <w:ind w:left="720"/>
      </w:pPr>
      <w:r>
        <w:t xml:space="preserve">Nurses will know the method and deadlines to renew their licenses.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licensed nurses, approximately 90,000.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They will have to submit their renewal application within the renewal period.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They will pay the renewal fee set in 201 KAR 20:240.</w:t>
      </w:r>
    </w:p>
    <w:p>
      <w:pPr>
        <w:pStyle w:val="kar_normal"/>
        <w:ind w:left="576"/>
      </w:pPr>
      <w:r>
        <w:t xml:space="preserve">(c) As a result of compliance, what benefits will accrue to the entities identified in question (3):</w:t>
      </w:r>
    </w:p>
    <w:p>
      <w:pPr>
        <w:pStyle w:val="kar_normal"/>
        <w:ind w:left="720"/>
      </w:pPr>
      <w:r>
        <w:t xml:space="preserve">They will be in compliance with the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 increase is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is not applied; the changes apply to all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Kentucky Revised Statutes 314.071, and 314.131(1).</w:t>
      </w:r>
    </w:p>
    <w:p>
      <w:pPr>
        <w:pStyle w:val="kar_normal"/>
        <w:ind w:left="288"/>
      </w:pPr>
      <w:r>
        <w:t xml:space="preserve">(2) Identify the promulgating agency and any other affected state units, parts, or divisions:</w:t>
      </w:r>
    </w:p>
    <w:p>
      <w:pPr>
        <w:pStyle w:val="kar_normal"/>
        <w:ind w:left="432"/>
      </w:pPr>
      <w:r>
        <w:t xml:space="preserve">The Kentucky Board of Nursing.</w:t>
      </w:r>
    </w:p>
    <w:p>
      <w:pPr>
        <w:pStyle w:val="kar_normal"/>
        <w:ind w:left="576"/>
      </w:pPr>
      <w:r>
        <w:t xml:space="preserve">(a) Estimate the following for the first year:</w:t>
      </w:r>
    </w:p>
    <w:p>
      <w:pPr>
        <w:pStyle w:val="kar_normal"/>
        <w:ind w:left="864"/>
      </w:pPr>
      <w:r>
        <w:t xml:space="preserve">Expenditures:</w:t>
      </w:r>
      <w:r>
        <w:t xml:space="preserve"> No expenditures to estimate.</w:t>
      </w:r>
    </w:p>
    <w:p>
      <w:pPr>
        <w:pStyle w:val="kar_normal"/>
        <w:ind w:left="864"/>
      </w:pPr>
      <w:r>
        <w:t xml:space="preserve">Revenues:</w:t>
      </w:r>
      <w:r>
        <w:t xml:space="preserve"> No revenues to estimate.</w:t>
      </w:r>
    </w:p>
    <w:p>
      <w:pPr>
        <w:pStyle w:val="kar_normal"/>
        <w:ind w:left="864"/>
      </w:pPr>
      <w:r>
        <w:t xml:space="preserve">Cost Savings:</w:t>
      </w:r>
      <w:r>
        <w:t xml:space="preserve"> No additional cost savings.</w:t>
      </w:r>
    </w:p>
    <w:p>
      <w:pPr>
        <w:pStyle w:val="kar_normal"/>
        <w:ind w:left="576"/>
      </w:pPr>
      <w:r>
        <w:t xml:space="preserve">(b) How will expenditures, revenues, or cost savings differ in subsequent years?</w:t>
      </w:r>
    </w:p>
    <w:p>
      <w:pPr>
        <w:pStyle w:val="kar_normal"/>
        <w:ind w:left="720"/>
      </w:pPr>
      <w:r>
        <w:t xml:space="preserve">There will be no difference to expenditures, revenues, or cost savings.</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(4) Identify additional regulated entities not listed in questions (2) or (3):</w:t>
      </w:r>
    </w:p>
    <w:p>
      <w:pPr>
        <w:pStyle w:val="kar_normal"/>
        <w:ind w:left="432"/>
      </w:pPr>
      <w:r>
        <w:t xml:space="preserve">Nurses licensed by the Board.</w:t>
      </w:r>
    </w:p>
    <w:p>
      <w:pPr>
        <w:pStyle w:val="kar_normal"/>
        <w:ind w:left="576"/>
      </w:pPr>
      <w:r>
        <w:t xml:space="preserve">(a) Estimate the following for the first year:</w:t>
      </w:r>
    </w:p>
    <w:p>
      <w:pPr>
        <w:pStyle w:val="kar_normal"/>
        <w:ind w:left="864"/>
      </w:pPr>
      <w:r>
        <w:t xml:space="preserve">Expenditures:</w:t>
      </w:r>
      <w:r>
        <w:t xml:space="preserve"> No expenditures.</w:t>
      </w:r>
    </w:p>
    <w:p>
      <w:pPr>
        <w:pStyle w:val="kar_normal"/>
        <w:ind w:left="864"/>
      </w:pPr>
      <w:r>
        <w:t xml:space="preserve">Revenues:</w:t>
      </w:r>
      <w:r>
        <w:t xml:space="preserve"> No revenues.</w:t>
      </w:r>
    </w:p>
    <w:p>
      <w:pPr>
        <w:pStyle w:val="kar_normal"/>
        <w:ind w:left="864"/>
      </w:pPr>
      <w:r>
        <w:t xml:space="preserve">Cost Savings:</w:t>
      </w:r>
      <w:r>
        <w:t xml:space="preserve"> No cost savings, are minimal regarding the cost of mailing applications to the Board. But they are difficult to estimate.</w:t>
      </w:r>
    </w:p>
    <w:p>
      <w:pPr>
        <w:pStyle w:val="kar_normal"/>
        <w:ind w:left="576"/>
      </w:pPr>
      <w:r>
        <w:t xml:space="preserve">(b) How will expenditures, revenues, or cost savings differ in subsequent years?</w:t>
      </w:r>
    </w:p>
    <w:p>
      <w:pPr>
        <w:pStyle w:val="kar_normal"/>
        <w:ind w:left="720"/>
      </w:pPr>
      <w:r>
        <w:t xml:space="preserve">There will be no difference to expenditures, revenues, or cost savings.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renewal process is online through the nurse portal and the Optimal Regulatory Board System (ORBS), which is provided by the National Council of State Boards of Nursing. Nurses no longer mail paper renewal applications.</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w:t>
      </w:r>
    </w:p>
    <w:p>
      <w:pPr>
        <w:pStyle w:val="kar_normal"/>
        <w:ind w:left="576"/>
      </w:pPr>
      <w:r>
        <w:t xml:space="preserve">(b) The methodology and resources used to reach this conclusion:</w:t>
      </w:r>
    </w:p>
    <w:p>
      <w:pPr>
        <w:pStyle w:val="kar_normal"/>
        <w:ind w:left="720"/>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050a9a21ba4089" /><Relationship Type="http://schemas.openxmlformats.org/officeDocument/2006/relationships/settings" Target="/word/settings.xml" Id="R7f6942d74aa249ad" /></Relationships>
</file>