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d053bab3904a1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Public Service Commission</w:t>
      </w:r>
    </w:p>
    <w:p>
      <w:pPr>
        <w:pStyle w:val="kar_markup_header"/>
        <w:ind w:firstLine="0"/>
      </w:pPr>
      <w:r>
        <w:t>(Emergency Amended After Comments)</w:t>
      </w:r>
    </w:p>
    <w:p>
      <w:pPr>
        <w:pStyle w:val="kar_citation"/>
      </w:pPr>
      <w:r>
        <w:t>807 KAR 5:015E.</w:t>
      </w:r>
      <w:r>
        <w:t xml:space="preserve"> </w:t>
      </w:r>
      <w:r>
        <w:t xml:space="preserve">Access and attachments to utility poles and facilities.</w:t>
      </w:r>
    </w:p>
    <w:p>
      <w:pPr>
        <w:pStyle w:val="kar_markup_metadata"/>
      </w:pPr>
      <w:r>
        <w:t xml:space="preserve">EFFECTIVE: August 15, 2024</w:t>
      </w:r>
    </w:p>
    <w:p>
      <w:pPr>
        <w:pStyle w:val="kar_e_prior_header"/>
      </w:pPr>
      <w:r>
        <w:t xml:space="preserve">Prior Versions:</w:t>
      </w:r>
    </w:p>
    <w:p>
      <w:pPr>
        <w:pStyle w:val="kar_e_prior_versions"/>
      </w:pPr>
      <w:r>
        <w:t xml:space="preserve">Emergency Amendment - 50 Ky.R. 14</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CERTIFICATION STATEMENT: </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w:t>
      </w:r>
      <w:r>
        <w:rPr>
          <w:u w:val="single"/>
        </w:rPr>
        <w:t xml:space="preserve">180</w:t>
      </w:r>
      <w:r>
        <w:t>[</w:t>
      </w:r>
      <w:r>
        <w:rPr>
          <w:strike w:val="true"/>
        </w:rPr>
        <w:t xml:space="preserve">360</w:t>
      </w:r>
      <w:r>
        <w:t>]</w:t>
      </w:r>
      <w:r>
        <w:t xml:space="preserve">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r>
        <w:rPr>
          <w:u w:val="single"/>
        </w:rPr>
        <w:t xml:space="preserve"> The amendments establish an expedited complaint process to address issues pertaining to contract negotiations. 2024 Kentucky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tariff shall include the URL for a utility-maintained Web site.</w:t>
      </w:r>
    </w:p>
    <w:p>
      <w:pPr>
        <w:pStyle w:val="kar_paragraph"/>
      </w:pPr>
      <w:r>
        <w:rPr>
          <w:u w:val="single"/>
        </w:rPr>
        <w:t xml:space="preserve">(b)</w:t>
      </w:r>
      <w:r>
        <w:t xml:space="preserve"> </w:t>
      </w:r>
      <w:r>
        <w:rPr>
          <w:u w:val="single"/>
        </w:rPr>
        <w:t xml:space="preserve">The Web site shall include:</w:t>
      </w:r>
    </w:p>
    <w:p>
      <w:pPr>
        <w:pStyle w:val="kar_subparagraph"/>
      </w:pPr>
      <w:r>
        <w:rPr>
          <w:u w:val="single"/>
        </w:rPr>
        <w:t xml:space="preserve">1.</w:t>
      </w:r>
      <w:r>
        <w:t xml:space="preserve"> </w:t>
      </w:r>
      <w:r>
        <w:rPr>
          <w:u w:val="single"/>
        </w:rPr>
        <w:t xml:space="preserve">A certificate form that a new attacher shall submit to the utility that shall require a new attacher to:</w:t>
      </w:r>
    </w:p>
    <w:p>
      <w:pPr>
        <w:pStyle w:val="kar_clause"/>
      </w:pPr>
      <w:r>
        <w:rPr>
          <w:u w:val="single"/>
        </w:rPr>
        <w:t xml:space="preserve">a.</w:t>
      </w:r>
      <w:r>
        <w:t xml:space="preserve"> </w:t>
      </w:r>
      <w:r>
        <w:rPr>
          <w:u w:val="single"/>
        </w:rPr>
        <w:t xml:space="preserve">Certify that the person filing the application has reviewed the utility's requirements, pole attachment tariff, and applicable law and that the application meets these requirements to the best of the new attacher's knowledge and ability;</w:t>
      </w:r>
    </w:p>
    <w:p>
      <w:pPr>
        <w:pStyle w:val="kar_clause"/>
      </w:pPr>
      <w:r>
        <w:rPr>
          <w:u w:val="single"/>
        </w:rPr>
        <w:t xml:space="preserve">b.</w:t>
      </w:r>
      <w:r>
        <w:t xml:space="preserve"> </w:t>
      </w:r>
      <w:r>
        <w:rPr>
          <w:u w:val="single"/>
        </w:rPr>
        <w:t xml:space="preserve">Designate appropriate personnel responsible for overseeing all attachments with the utility;</w:t>
      </w:r>
    </w:p>
    <w:p>
      <w:pPr>
        <w:pStyle w:val="kar_clause"/>
      </w:pPr>
      <w:r>
        <w:rPr>
          <w:u w:val="single"/>
        </w:rPr>
        <w:t xml:space="preserve">c.</w:t>
      </w:r>
      <w:r>
        <w:t xml:space="preserve"> </w:t>
      </w:r>
      <w:r>
        <w:rPr>
          <w:u w:val="single"/>
        </w:rPr>
        <w:t xml:space="preserve">Identify appropriate personnel associated with each application, who shall be responsible for coordinating with the utility and ensuring that attachment-related issues are addressed in a timely manner;</w:t>
      </w:r>
    </w:p>
    <w:p>
      <w:pPr>
        <w:pStyle w:val="kar_subparagraph"/>
      </w:pPr>
      <w:r>
        <w:rPr>
          <w:u w:val="single"/>
        </w:rPr>
        <w:t xml:space="preserve">2.</w:t>
      </w:r>
      <w:r>
        <w:t xml:space="preserve"> </w:t>
      </w:r>
      <w:r>
        <w:rPr>
          <w:u w:val="single"/>
        </w:rPr>
        <w:t xml:space="preserve">Pole attachment information including the identity and contact information for contractors approved to conduct surveys and make-ready self-help;</w:t>
      </w:r>
    </w:p>
    <w:p>
      <w:pPr>
        <w:pStyle w:val="kar_subparagraph"/>
      </w:pPr>
      <w:r>
        <w:rPr>
          <w:u w:val="single"/>
        </w:rPr>
        <w:t xml:space="preserve">3.</w:t>
      </w:r>
      <w:r>
        <w:t xml:space="preserve"> </w:t>
      </w:r>
      <w:r>
        <w:rPr>
          <w:u w:val="single"/>
        </w:rPr>
        <w:t xml:space="preserve">Construction standards for attachments; and</w:t>
      </w:r>
    </w:p>
    <w:p>
      <w:pPr>
        <w:pStyle w:val="kar_subparagraph"/>
      </w:pPr>
      <w:r>
        <w:rPr>
          <w:u w:val="single"/>
        </w:rPr>
        <w:t xml:space="preserve">4.</w:t>
      </w:r>
      <w:r>
        <w:t xml:space="preserve"> </w:t>
      </w:r>
      <w:r>
        <w:rPr>
          <w:u w:val="single"/>
        </w:rPr>
        <w:t xml:space="preserve">The identity and contact information for:</w:t>
      </w:r>
    </w:p>
    <w:p>
      <w:pPr>
        <w:pStyle w:val="kar_clause"/>
      </w:pPr>
      <w:r>
        <w:rPr>
          <w:u w:val="single"/>
        </w:rPr>
        <w:t xml:space="preserve">a.</w:t>
      </w:r>
      <w:r>
        <w:t xml:space="preserve"> </w:t>
      </w:r>
      <w:r>
        <w:rPr>
          <w:u w:val="single"/>
        </w:rPr>
        <w:t xml:space="preserve">The primary utility personnel responsible for invoicing, payment, make-ready work, and escalation of disputes; and</w:t>
      </w:r>
    </w:p>
    <w:p>
      <w:pPr>
        <w:pStyle w:val="kar_clause"/>
      </w:pPr>
      <w:r>
        <w:rPr>
          <w:u w:val="single"/>
        </w:rPr>
        <w:t xml:space="preserve">b.</w:t>
      </w:r>
      <w:r>
        <w:t xml:space="preserve"> </w:t>
      </w:r>
      <w:r>
        <w:rPr>
          <w:u w:val="single"/>
        </w:rPr>
        <w:t xml:space="preserve">The alternate utility personnel responsible for invoicing, payment, make-ready work, and escalation of disputes if the primary personnel are unavailable.</w:t>
      </w:r>
    </w:p>
    <w:p>
      <w:pPr>
        <w:pStyle w:val="kar_subsection"/>
      </w:pPr>
      <w:r>
        <w:rPr>
          <w:u w:val="single"/>
        </w:rP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rPr>
          <w:u w:val="single"/>
        </w:rPr>
        <w:t xml:space="preserve">(7)</w:t>
      </w:r>
      <w:r>
        <w:t>[</w:t>
      </w:r>
      <w:r>
        <w:rPr>
          <w:strike w:val="true"/>
        </w:rPr>
        <w:t xml:space="preserve">(6)</w:t>
      </w:r>
      <w:r>
        <w:t>]</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rPr>
          <w:u w:val="single"/>
        </w:rPr>
        <w:t xml:space="preserve">(8)</w:t>
      </w:r>
      <w:r>
        <w:t>[</w:t>
      </w:r>
      <w:r>
        <w:rPr>
          <w:strike w:val="true"/>
        </w:rPr>
        <w:t xml:space="preserve">(7)</w:t>
      </w:r>
      <w:r>
        <w:t>]</w:t>
      </w:r>
      <w:r>
        <w:t xml:space="preserve"> </w:t>
      </w:r>
      <w:r>
        <w:t xml:space="preserve">Tariffs conforming to the requirements of this administrative regulation and with a proposed effective date no later than </w:t>
      </w:r>
      <w:r>
        <w:rPr>
          <w:b/>
          <w:u w:val="single"/>
        </w:rPr>
        <w:t xml:space="preserve">October</w:t>
      </w:r>
      <w:r>
        <w:t>[</w:t>
      </w:r>
      <w:r>
        <w:rPr>
          <w:b/>
          <w:strike w:val="true"/>
          <w:u w:val="single"/>
        </w:rPr>
        <w:t xml:space="preserve">August</w:t>
      </w:r>
      <w:r>
        <w:t>]</w:t>
      </w:r>
      <w:r>
        <w:t>[</w:t>
      </w:r>
      <w:r>
        <w:rPr>
          <w:strike w:val="true"/>
        </w:rPr>
        <w:t xml:space="preserve">March</w:t>
      </w:r>
      <w:r>
        <w:t>]</w:t>
      </w:r>
      <w:r>
        <w:t xml:space="preserve"> 31, </w:t>
      </w:r>
      <w:r>
        <w:rPr>
          <w:u w:val="single"/>
        </w:rPr>
        <w:t xml:space="preserve">2024</w:t>
      </w:r>
      <w:r>
        <w:t>[</w:t>
      </w:r>
      <w:r>
        <w:rPr>
          <w:strike w:val="true"/>
        </w:rPr>
        <w:t xml:space="preserve">2022</w:t>
      </w:r>
      <w:r>
        <w:t>]</w:t>
      </w:r>
      <w:r>
        <w:t xml:space="preserve">, shall be filed by </w:t>
      </w:r>
      <w:r>
        <w:rPr>
          <w:b/>
          <w:u w:val="single"/>
        </w:rPr>
        <w:t xml:space="preserve">November 30</w:t>
      </w:r>
      <w:r>
        <w:t>[</w:t>
      </w:r>
      <w:r>
        <w:rPr>
          <w:b/>
          <w:strike w:val="true"/>
          <w:u w:val="single"/>
        </w:rPr>
        <w:t xml:space="preserve">July 31</w:t>
      </w:r>
      <w:r>
        <w:t>]</w:t>
      </w:r>
      <w:r>
        <w:t>[</w:t>
      </w:r>
      <w:r>
        <w:rPr>
          <w:strike w:val="true"/>
        </w:rPr>
        <w:t xml:space="preserve">February 28</w:t>
      </w:r>
      <w:r>
        <w:t>]</w:t>
      </w:r>
      <w:r>
        <w:t xml:space="preserve">, </w:t>
      </w:r>
      <w:r>
        <w:rPr>
          <w:u w:val="single"/>
        </w:rPr>
        <w:t xml:space="preserve">2024</w:t>
      </w:r>
      <w:r>
        <w:t>[</w:t>
      </w:r>
      <w:r>
        <w:rPr>
          <w:strike w:val="true"/>
        </w:rPr>
        <w:t xml:space="preserve">2022</w:t>
      </w:r>
      <w:r>
        <w:t>]</w:t>
      </w:r>
      <w:r>
        <w:t xml:space="preserve">.</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rPr>
          <w:u w:val="single"/>
        </w:rPr>
        <w:t xml:space="preserve">A new attacher shall:</w:t>
      </w:r>
    </w:p>
    <w:p>
      <w:pPr>
        <w:pStyle w:val="kar_clause"/>
      </w:pPr>
      <w:r>
        <w:rPr>
          <w:u w:val="single"/>
        </w:rPr>
        <w:t xml:space="preserve">a.</w:t>
      </w:r>
      <w:r>
        <w:t xml:space="preserve"> </w:t>
      </w:r>
      <w:r>
        <w:rPr>
          <w:u w:val="single"/>
        </w:rPr>
        <w:t xml:space="preserve">Prior to submitting a pole attachment application to a utility:</w:t>
      </w:r>
    </w:p>
    <w:p>
      <w:pPr>
        <w:pStyle w:val="kar_subclause"/>
      </w:pPr>
      <w:r>
        <w:rPr>
          <w:u w:val="single"/>
        </w:rPr>
        <w:t xml:space="preserve">(i)</w:t>
      </w:r>
      <w:r>
        <w:t xml:space="preserve"> </w:t>
      </w:r>
      <w:r>
        <w:rPr>
          <w:u w:val="single"/>
        </w:rPr>
        <w:t xml:space="preserve">Review the application for completeness and;</w:t>
      </w:r>
    </w:p>
    <w:p>
      <w:pPr>
        <w:pStyle w:val="kar_subclause"/>
      </w:pPr>
      <w:r>
        <w:rPr>
          <w:u w:val="single"/>
        </w:rPr>
        <w:t xml:space="preserve">(ii)</w:t>
      </w:r>
      <w:r>
        <w:t xml:space="preserve"> </w:t>
      </w:r>
      <w:r>
        <w:rPr>
          <w:u w:val="single"/>
        </w:rPr>
        <w:t xml:space="preserve">Submit the information required by Section 3(5) of this administrative regulation; and</w:t>
      </w:r>
    </w:p>
    <w:p>
      <w:pPr>
        <w:pStyle w:val="kar_clause"/>
      </w:pPr>
      <w:r>
        <w:rPr>
          <w:u w:val="single"/>
        </w:rPr>
        <w:t xml:space="preserve">b.</w:t>
      </w:r>
      <w:r>
        <w:t xml:space="preserve"> </w:t>
      </w:r>
      <w:r>
        <w:rPr>
          <w:u w:val="single"/>
        </w:rPr>
        <w:t xml:space="preserve">Submit the written certification with the pole attachment application. If the utility uses an electronic system to manage pole attachments, this certification shall be uploaded to the utility's designated system.</w:t>
      </w:r>
    </w:p>
    <w:p>
      <w:pPr>
        <w:pStyle w:val="kar_subparagraph"/>
      </w:pPr>
      <w:r>
        <w:rPr>
          <w:u w:val="single"/>
        </w:rPr>
        <w:t xml:space="preserve">2.</w:t>
      </w:r>
      <w:r>
        <w:t xml:space="preserve"> </w:t>
      </w:r>
      <w:r>
        <w:t xml:space="preserve">A utility shall review a new attacher's pole attachment application for completeness before reviewing the application on its merits and shall notify the new attacher within </w:t>
      </w:r>
      <w:r>
        <w:rPr>
          <w:b/>
          <w:u w:val="single"/>
        </w:rPr>
        <w:t xml:space="preserve">the time established in subparagraph 8. of this paragraph</w:t>
      </w:r>
      <w:r>
        <w:t>[</w:t>
      </w:r>
      <w:r>
        <w:rPr>
          <w:b/>
          <w:strike w:val="true"/>
        </w:rPr>
        <w:t xml:space="preserve">ten (10) business days</w:t>
      </w:r>
      <w:r>
        <w:t>]</w:t>
      </w:r>
      <w:r>
        <w:t xml:space="preserve"> after receipt of the new attacher's pole attachment application if the application is incomplete.</w:t>
      </w:r>
    </w:p>
    <w:p>
      <w:pPr>
        <w:pStyle w:val="kar_subparagraph"/>
      </w:pPr>
      <w:r>
        <w:rPr>
          <w:u w:val="single"/>
        </w:rPr>
        <w:t xml:space="preserve">3.</w:t>
      </w:r>
      <w:r>
        <w:t>[</w:t>
      </w:r>
      <w:r>
        <w:rPr>
          <w:strike w:val="true"/>
        </w:rPr>
        <w:t xml:space="preserve">2.</w:t>
      </w:r>
      <w:r>
        <w:t>]</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rPr>
          <w:u w:val="single"/>
        </w:rPr>
        <w:t xml:space="preserve">4.</w:t>
      </w:r>
      <w:r>
        <w:t>[</w:t>
      </w:r>
      <w:r>
        <w:rPr>
          <w:strike w:val="true"/>
        </w:rPr>
        <w:t xml:space="preserve">3.</w:t>
      </w:r>
      <w:r>
        <w:t>]</w:t>
      </w:r>
      <w:r>
        <w:t xml:space="preserve"> </w:t>
      </w:r>
      <w:r>
        <w:t xml:space="preserve">If the utility notifies a new attacher that its attachment application is not complete, then the utility shall state all reasons for finding it incomplete.</w:t>
      </w:r>
    </w:p>
    <w:p>
      <w:pPr>
        <w:pStyle w:val="kar_subparagraph"/>
      </w:pPr>
      <w:r>
        <w:rPr>
          <w:u w:val="single"/>
        </w:rPr>
        <w:t xml:space="preserve">5.</w:t>
      </w:r>
      <w:r>
        <w:t xml:space="preserve"> </w:t>
      </w:r>
      <w:r>
        <w:rPr>
          <w:u w:val="single"/>
        </w:rPr>
        <w:t xml:space="preserve">A utility shall not require a new attacher to submit a survey or pole loading analysis as a filing requirement for an application.</w:t>
      </w:r>
    </w:p>
    <w:p>
      <w:pPr>
        <w:pStyle w:val="kar_subparagraph"/>
      </w:pPr>
      <w:r>
        <w:rPr>
          <w:u w:val="single"/>
        </w:rPr>
        <w:t xml:space="preserve">6.</w:t>
      </w:r>
      <w:r>
        <w:t xml:space="preserve"> </w:t>
      </w:r>
      <w:r>
        <w:rPr>
          <w:u w:val="single"/>
        </w:rPr>
        <w:t xml:space="preserve">A new attacher may submit a survey with an application of 500 poles or less, which the utility shall accept if the new attacher used an approved contractor listed on the utility's Web site and the survey was conducted no longer than thirty (30) days prior to submission. A utility shall conduct the survey for applications exceeding 500 poles.</w:t>
      </w:r>
    </w:p>
    <w:p>
      <w:pPr>
        <w:pStyle w:val="kar_subparagraph"/>
      </w:pPr>
      <w:r>
        <w:rPr>
          <w:u w:val="single"/>
        </w:rPr>
        <w:t xml:space="preserve">7.</w:t>
      </w:r>
      <w:r>
        <w:t xml:space="preserve"> </w:t>
      </w:r>
      <w:r>
        <w:rPr>
          <w:u w:val="single"/>
        </w:rPr>
        <w:t xml:space="preserve">If a utility rejects an application the rejection shall state the reason for the denial and shall include specific citations to this administrative regulation and the utility's tariff that form the basis of the rejection.</w:t>
      </w:r>
    </w:p>
    <w:p>
      <w:pPr>
        <w:pStyle w:val="kar_subparagraph"/>
      </w:pPr>
      <w:r>
        <w:rPr>
          <w:u w:val="single"/>
        </w:rPr>
        <w:t xml:space="preserve">8.</w:t>
      </w:r>
      <w:r>
        <w:t xml:space="preserve"> </w:t>
      </w:r>
      <w:r>
        <w:rPr>
          <w:u w:val="single"/>
        </w:rP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rPr>
          <w:u w:val="single"/>
        </w:rPr>
        <w:t xml:space="preserve">9.</w:t>
      </w:r>
      <w:r>
        <w:t xml:space="preserve"> </w:t>
      </w:r>
      <w:r>
        <w:rPr>
          <w:u w:val="single"/>
        </w:rP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over which the new application is being prioritized.</w:t>
      </w:r>
    </w:p>
    <w:p>
      <w:pPr>
        <w:pStyle w:val="kar_subparagraph"/>
      </w:pPr>
      <w:r>
        <w:rPr>
          <w:u w:val="single"/>
        </w:rPr>
        <w:t xml:space="preserve">10.</w:t>
      </w:r>
      <w:r>
        <w:t>[</w:t>
      </w:r>
      <w:r>
        <w:rPr>
          <w:strike w:val="true"/>
        </w:rPr>
        <w:t xml:space="preserve">4.</w:t>
      </w:r>
      <w:r>
        <w:t>]</w:t>
      </w:r>
      <w:r>
        <w:t xml:space="preserve"> </w:t>
      </w:r>
      <w:r>
        <w:t xml:space="preserve">If the utility does not respond within </w:t>
      </w:r>
      <w:r>
        <w:rPr>
          <w:u w:val="single"/>
        </w:rPr>
        <w:t xml:space="preserve">the time prescribed in subparagraph 8. of this paragraph</w:t>
      </w:r>
      <w:r>
        <w:t>[</w:t>
      </w:r>
      <w:r>
        <w:rPr>
          <w:strike w:val="true"/>
        </w:rPr>
        <w:t xml:space="preserve">ten (10) business days</w:t>
      </w:r>
      <w:r>
        <w:t>]</w:t>
      </w:r>
      <w:r>
        <w:t xml:space="preserve"> after receipt of the application, or if the utility rejects the application as incomplete but fails to state any reasons in the utility's response, then the application shall be deemed complete</w:t>
      </w:r>
      <w:r>
        <w:rPr>
          <w:u w:val="single"/>
        </w:rPr>
        <w:t xml:space="preserve"> and the time for the utility's next procedural step begins to run</w:t>
      </w:r>
      <w:r>
        <w:t xml:space="preserve">.</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w:t>
      </w:r>
      <w:r>
        <w:rPr>
          <w:b/>
          <w:u w:val="single"/>
        </w:rPr>
        <w:t xml:space="preserve">120</w:t>
      </w:r>
      <w:r>
        <w:t>[</w:t>
      </w:r>
      <w:r>
        <w:rPr>
          <w:b/>
          <w:strike w:val="true"/>
          <w:u w:val="single"/>
        </w:rPr>
        <w:t xml:space="preserve">105</w:t>
      </w:r>
      <w:r>
        <w:t>]</w:t>
      </w:r>
      <w:r>
        <w:t>[</w:t>
      </w:r>
      <w:r>
        <w:rPr>
          <w:strike w:val="true"/>
        </w:rPr>
        <w:t xml:space="preserve">sixty (60)</w:t>
      </w:r>
      <w:r>
        <w:t>]</w:t>
      </w:r>
      <w:r>
        <w:t xml:space="preserve"> days in the case of larger orders as established in subsection </w:t>
      </w:r>
      <w:r>
        <w:rPr>
          <w:u w:val="single"/>
        </w:rPr>
        <w:t xml:space="preserve">(8)</w:t>
      </w:r>
      <w:r>
        <w:t>[</w:t>
      </w:r>
      <w:r>
        <w:rPr>
          <w:strike w:val="true"/>
        </w:rPr>
        <w:t xml:space="preserve">(7)</w:t>
      </w:r>
      <w:r>
        <w:t>]</w:t>
      </w:r>
      <w:r>
        <w:t xml:space="preserve">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w:t>
      </w:r>
      <w:r>
        <w:rPr>
          <w:u w:val="single"/>
        </w:rPr>
        <w:t xml:space="preserve">(11)</w:t>
      </w:r>
      <w:r>
        <w:t>[</w:t>
      </w:r>
      <w:r>
        <w:rPr>
          <w:strike w:val="true"/>
        </w:rPr>
        <w:t xml:space="preserve">(10)</w:t>
      </w:r>
      <w:r>
        <w:t>]</w:t>
      </w:r>
      <w:r>
        <w:t xml:space="preserve">(b) of this section, or a new attacher has otherwise conducted and provided a survey, after giving existing attachers notice and an opportunity to participate in a manner consistent with subsection </w:t>
      </w:r>
      <w:r>
        <w:rPr>
          <w:u w:val="single"/>
        </w:rPr>
        <w:t xml:space="preserve">(11)</w:t>
      </w:r>
      <w:r>
        <w:t>[</w:t>
      </w:r>
      <w:r>
        <w:rPr>
          <w:strike w:val="true"/>
        </w:rPr>
        <w:t xml:space="preserve">(10)</w:t>
      </w:r>
      <w:r>
        <w:t>]</w:t>
      </w:r>
      <w:r>
        <w:t xml:space="preserve">(b),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w:t>
      </w:r>
      <w:r>
        <w:rPr>
          <w:b/>
          <w:u w:val="single"/>
        </w:rPr>
        <w:t xml:space="preserve">120</w:t>
      </w:r>
      <w:r>
        <w:t>[</w:t>
      </w:r>
      <w:r>
        <w:rPr>
          <w:b/>
          <w:strike w:val="true"/>
          <w:u w:val="single"/>
        </w:rPr>
        <w:t xml:space="preserve">105</w:t>
      </w:r>
      <w:r>
        <w:t>]</w:t>
      </w:r>
      <w:r>
        <w:t>[</w:t>
      </w:r>
      <w:r>
        <w:rPr>
          <w:strike w:val="true"/>
        </w:rPr>
        <w:t xml:space="preserve">sixty (60)</w:t>
      </w:r>
      <w:r>
        <w:t>]</w:t>
      </w:r>
      <w:r>
        <w:t xml:space="preserve"> days in the case of larger orders as described in subsection </w:t>
      </w:r>
      <w:r>
        <w:rPr>
          <w:u w:val="single"/>
        </w:rPr>
        <w:t xml:space="preserve">(8)</w:t>
      </w:r>
      <w:r>
        <w:t>[</w:t>
      </w:r>
      <w:r>
        <w:rPr>
          <w:strike w:val="true"/>
        </w:rPr>
        <w:t xml:space="preserve">(7)</w:t>
      </w:r>
      <w:r>
        <w:t>]</w:t>
      </w:r>
      <w:r>
        <w:t xml:space="preserve">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rPr>
          <w:u w:val="single"/>
        </w:rPr>
        <w:t xml:space="preserve">(e)</w:t>
      </w:r>
      <w:r>
        <w:t xml:space="preserve"> </w:t>
      </w:r>
      <w:r>
        <w:rPr>
          <w:u w:val="single"/>
        </w:rPr>
        <w:t xml:space="preserve">Invoices for estimates shall clearly identify the application or project for which payment is requested.</w:t>
      </w:r>
    </w:p>
    <w:p>
      <w:pPr>
        <w:pStyle w:val="kar_paragraph"/>
      </w:pPr>
      <w:r>
        <w:rPr>
          <w:u w:val="single"/>
        </w:rPr>
        <w:t xml:space="preserve">(f)</w:t>
      </w:r>
      <w:r>
        <w:t xml:space="preserve"> </w:t>
      </w:r>
      <w:r>
        <w:rPr>
          <w:u w:val="single"/>
        </w:rP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pursuant to the utility's tariff and the 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w:t>
      </w:r>
      <w:r>
        <w:rPr>
          <w:u w:val="single"/>
        </w:rPr>
        <w:t xml:space="preserve">forty-five (45)</w:t>
      </w:r>
      <w:r>
        <w:t>[</w:t>
      </w:r>
      <w:r>
        <w:rPr>
          <w:strike w:val="true"/>
        </w:rPr>
        <w:t xml:space="preserve">thirty (30)</w:t>
      </w:r>
      <w:r>
        <w:t>]</w:t>
      </w:r>
      <w:r>
        <w:t xml:space="preserve"> days after notification is sent (or up to </w:t>
      </w:r>
      <w:r>
        <w:rPr>
          <w:b/>
          <w:u w:val="single"/>
        </w:rPr>
        <w:t xml:space="preserve">120</w:t>
      </w:r>
      <w:r>
        <w:t>[</w:t>
      </w:r>
      <w:r>
        <w:rPr>
          <w:b/>
          <w:strike w:val="true"/>
          <w:u w:val="single"/>
        </w:rPr>
        <w:t xml:space="preserve">105</w:t>
      </w:r>
      <w:r>
        <w:t>]</w:t>
      </w:r>
      <w:r>
        <w:t>[</w:t>
      </w:r>
      <w:r>
        <w:rPr>
          <w:strike w:val="true"/>
        </w:rPr>
        <w:t xml:space="preserve">seventy-five (75)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w:t>
      </w:r>
      <w:r>
        <w:rPr>
          <w:b/>
          <w:u w:val="single"/>
        </w:rPr>
        <w:t xml:space="preserve">165</w:t>
      </w:r>
      <w:r>
        <w:t>[</w:t>
      </w:r>
      <w:r>
        <w:rPr>
          <w:b/>
          <w:strike w:val="true"/>
        </w:rPr>
        <w:t xml:space="preserve">135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rPr>
          <w:u w:val="single"/>
        </w:rPr>
        <w:t xml:space="preserve">(6)</w:t>
      </w:r>
      <w:r>
        <w:t xml:space="preserve"> </w:t>
      </w:r>
      <w:r>
        <w:rPr>
          <w:u w:val="single"/>
        </w:rPr>
        <w:t xml:space="preserve">An attacher shall, within fifteen (15) business days following completion of all attachments within an application, provide written notice to a utility in the manner and form stated in the utility's tariff.</w:t>
      </w:r>
    </w:p>
    <w:p>
      <w:pPr>
        <w:pStyle w:val="kar_subsection"/>
      </w:pPr>
      <w:r>
        <w:rPr>
          <w:u w:val="single"/>
        </w:rPr>
        <w:t xml:space="preserve">(7)</w:t>
      </w:r>
      <w:r>
        <w:t>[</w:t>
      </w:r>
      <w:r>
        <w:rPr>
          <w:strike w:val="true"/>
        </w:rPr>
        <w:t xml:space="preserve">(6)</w:t>
      </w:r>
      <w:r>
        <w:t>]</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any estimate previously paid for the survey work or if no estimate was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rPr>
          <w:u w:val="single"/>
        </w:rPr>
        <w:t xml:space="preserve">(8)</w:t>
      </w:r>
      <w:r>
        <w:t>[</w:t>
      </w:r>
      <w:r>
        <w:rPr>
          <w:strike w:val="true"/>
        </w:rPr>
        <w:t xml:space="preserve">(7)</w:t>
      </w:r>
      <w:r>
        <w:t>]</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w:t>
      </w:r>
      <w:r>
        <w:rPr>
          <w:u w:val="single"/>
        </w:rPr>
        <w:t xml:space="preserve">500</w:t>
      </w:r>
      <w:r>
        <w:t>[</w:t>
      </w:r>
      <w:r>
        <w:rPr>
          <w:strike w:val="true"/>
        </w:rPr>
        <w:t xml:space="preserve">300</w:t>
      </w:r>
      <w:r>
        <w:t>]</w:t>
      </w:r>
      <w:r>
        <w:t xml:space="preserve"> poles or </w:t>
      </w:r>
      <w:r>
        <w:rPr>
          <w:u w:val="single"/>
        </w:rPr>
        <w:t xml:space="preserve">.75</w:t>
      </w:r>
      <w:r>
        <w:t>[</w:t>
      </w:r>
      <w:r>
        <w:rPr>
          <w:strike w:val="true"/>
        </w:rPr>
        <w:t xml:space="preserve">zero and five-tenths (0.5)</w:t>
      </w:r>
      <w:r>
        <w:t>]</w:t>
      </w:r>
      <w:r>
        <w:t xml:space="preserve"> percent of the utility's poles in the state;</w:t>
      </w:r>
    </w:p>
    <w:p>
      <w:pPr>
        <w:pStyle w:val="kar_paragraph"/>
      </w:pPr>
      <w:r>
        <w:t xml:space="preserve">(b)</w:t>
      </w:r>
      <w:r>
        <w:t xml:space="preserve"> </w:t>
      </w:r>
      <w:r>
        <w:t xml:space="preserve">A utility may</w:t>
      </w:r>
      <w:r>
        <w:rPr>
          <w:u w:val="single"/>
        </w:rPr>
        <w:t xml:space="preserve">, for every </w:t>
      </w:r>
      <w:r>
        <w:t>[</w:t>
      </w:r>
      <w:r>
        <w:rPr>
          <w:b/>
          <w:strike w:val="true"/>
          <w:u w:val="single"/>
        </w:rPr>
        <w:t xml:space="preserve">full </w:t>
      </w:r>
      <w:r>
        <w:t>]</w:t>
      </w:r>
      <w:r>
        <w:rPr>
          <w:u w:val="single"/>
        </w:rPr>
        <w:t xml:space="preserve">500-pole increment,</w:t>
      </w:r>
      <w:r>
        <w:t xml:space="preserve"> add up to fifteen (15) days to the survey period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(c)</w:t>
      </w:r>
      <w:r>
        <w:t xml:space="preserve"> </w:t>
      </w:r>
      <w:r>
        <w:t xml:space="preserve">A utility may</w:t>
      </w:r>
      <w:r>
        <w:rPr>
          <w:u w:val="single"/>
        </w:rPr>
        <w:t xml:space="preserve">, for every </w:t>
      </w:r>
      <w:r>
        <w:t>[</w:t>
      </w:r>
      <w:r>
        <w:rPr>
          <w:b/>
          <w:strike w:val="true"/>
          <w:u w:val="single"/>
        </w:rPr>
        <w:t xml:space="preserve">full </w:t>
      </w:r>
      <w:r>
        <w:t>]</w:t>
      </w:r>
      <w:r>
        <w:rPr>
          <w:u w:val="single"/>
        </w:rPr>
        <w:t xml:space="preserve">500-pole increment,</w:t>
      </w:r>
      <w:r>
        <w:t xml:space="preserve"> add up to </w:t>
      </w:r>
      <w:r>
        <w:rPr>
          <w:u w:val="single"/>
        </w:rPr>
        <w:t xml:space="preserve">fifteen (15)</w:t>
      </w:r>
      <w:r>
        <w:t>[</w:t>
      </w:r>
      <w:r>
        <w:rPr>
          <w:strike w:val="true"/>
        </w:rPr>
        <w:t xml:space="preserve">forty-five (45)</w:t>
      </w:r>
      <w:r>
        <w:t>]</w:t>
      </w:r>
      <w:r>
        <w:t xml:space="preserve"> days to the make-ready periods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(d)</w:t>
      </w:r>
      <w:r>
        <w:t xml:space="preserve"> </w:t>
      </w:r>
      <w:r>
        <w:t xml:space="preserve">A utility </w:t>
      </w:r>
      <w:r>
        <w:rPr>
          <w:u w:val="single"/>
        </w:rPr>
        <w:t xml:space="preserve">and a new attacher, unless the utility owns or controls fewer than 500 poles, </w:t>
      </w:r>
      <w:r>
        <w:t xml:space="preserve">shall negotiate</w:t>
      </w:r>
      <w:r>
        <w:rPr>
          <w:u w:val="single"/>
        </w:rPr>
        <w:t xml:space="preserve"> a special contract</w:t>
      </w:r>
      <w:r>
        <w:t xml:space="preserve"> in good faith </w:t>
      </w:r>
      <w:r>
        <w:t>[</w:t>
      </w:r>
      <w:r>
        <w:rPr>
          <w:strike w:val="true"/>
        </w:rPr>
        <w:t xml:space="preserve">the timing of </w:t>
      </w:r>
      <w:r>
        <w:t>]</w:t>
      </w:r>
      <w:r>
        <w:t xml:space="preserve">all requests for attachment larger than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r>
        <w:t>[</w:t>
      </w:r>
      <w:r>
        <w:rPr>
          <w:b/>
          <w:strike w:val="true"/>
          <w:u w:val="single"/>
        </w:rPr>
        <w:t xml:space="preserve">, or upon receipt of three (3) separate applications averaging 1,000 poles or one (1) percent of the utility's poles in Kentucky for any three (3) months over a five (5) month period</w:t>
      </w:r>
      <w:r>
        <w:t>]</w:t>
      </w:r>
      <w:r>
        <w:rPr>
          <w:u w:val="single"/>
        </w:rPr>
        <w:t xml:space="preserve">. The special contract, at a minimum, shall contain:</w:t>
      </w:r>
      <w:r>
        <w:t>[</w:t>
      </w:r>
      <w:r>
        <w:rPr>
          <w:strike w:val="true"/>
        </w:rPr>
        <w:t xml:space="preserve">;</w:t>
      </w:r>
      <w:r>
        <w:t>]</w:t>
      </w:r>
    </w:p>
    <w:p>
      <w:pPr>
        <w:pStyle w:val="kar_subparagraph"/>
      </w:pPr>
      <w:r>
        <w:rPr>
          <w:u w:val="single"/>
        </w:rPr>
        <w:t xml:space="preserve">1.</w:t>
      </w:r>
      <w:r>
        <w:t xml:space="preserve"> </w:t>
      </w:r>
      <w:r>
        <w:rPr>
          <w:u w:val="single"/>
        </w:rPr>
        <w:t xml:space="preserve">An agreement for a prepaid account from the new attacher to cover the cost of the request;</w:t>
      </w:r>
    </w:p>
    <w:p>
      <w:pPr>
        <w:pStyle w:val="kar_subparagraph"/>
      </w:pPr>
      <w:r>
        <w:rPr>
          <w:u w:val="single"/>
        </w:rPr>
        <w:t xml:space="preserve">2.</w:t>
      </w:r>
      <w:r>
        <w:t xml:space="preserve"> </w:t>
      </w:r>
      <w:r>
        <w:rPr>
          <w:u w:val="single"/>
        </w:rPr>
        <w:t xml:space="preserve">Direction from the new attacher regarding make ready work that the utility can complete without further direction from the new attacher including;</w:t>
      </w:r>
    </w:p>
    <w:p>
      <w:pPr>
        <w:pStyle w:val="kar_clause"/>
      </w:pPr>
      <w:r>
        <w:rPr>
          <w:u w:val="single"/>
        </w:rPr>
        <w:t xml:space="preserve">a.</w:t>
      </w:r>
      <w:r>
        <w:t xml:space="preserve"> </w:t>
      </w:r>
      <w:r>
        <w:rPr>
          <w:u w:val="single"/>
        </w:rPr>
        <w:t xml:space="preserve">The maximum cost per pole;</w:t>
      </w:r>
    </w:p>
    <w:p>
      <w:pPr>
        <w:pStyle w:val="kar_clause"/>
      </w:pPr>
      <w:r>
        <w:rPr>
          <w:u w:val="single"/>
        </w:rPr>
        <w:t xml:space="preserve">b.</w:t>
      </w:r>
      <w:r>
        <w:t xml:space="preserve"> </w:t>
      </w:r>
      <w:r>
        <w:rPr>
          <w:u w:val="single"/>
        </w:rPr>
        <w:t xml:space="preserve">The total cost for make ready work for each project or line of each project;</w:t>
      </w:r>
    </w:p>
    <w:p>
      <w:pPr>
        <w:pStyle w:val="kar_subparagraph"/>
      </w:pPr>
      <w:r>
        <w:rPr>
          <w:u w:val="single"/>
        </w:rPr>
        <w:t xml:space="preserve">3.</w:t>
      </w:r>
      <w:r>
        <w:t xml:space="preserve"> </w:t>
      </w:r>
      <w:r>
        <w:rPr>
          <w:u w:val="single"/>
        </w:rPr>
        <w:t xml:space="preserve">The new attacher's prioritization of projects if the new attacher has submitted multiple requests for attachment;</w:t>
      </w:r>
    </w:p>
    <w:p>
      <w:pPr>
        <w:pStyle w:val="kar_subparagraph"/>
      </w:pPr>
      <w:r>
        <w:rPr>
          <w:u w:val="single"/>
        </w:rPr>
        <w:t xml:space="preserve">4.</w:t>
      </w:r>
      <w:r>
        <w:t xml:space="preserve"> </w:t>
      </w:r>
      <w:r>
        <w:rPr>
          <w:u w:val="single"/>
        </w:rPr>
        <w:t xml:space="preserve">Contact information, including phone numbers and email addresses, for all necessary utility and new attacher personnel;</w:t>
      </w:r>
    </w:p>
    <w:p>
      <w:pPr>
        <w:pStyle w:val="kar_subparagraph"/>
      </w:pPr>
      <w:r>
        <w:rPr>
          <w:u w:val="single"/>
        </w:rPr>
        <w:t xml:space="preserve">5.</w:t>
      </w:r>
      <w:r>
        <w:t xml:space="preserve"> </w:t>
      </w:r>
      <w:r>
        <w:rPr>
          <w:u w:val="single"/>
        </w:rPr>
        <w:t xml:space="preserve">The cadence, location, and necessary personnel for each project; and</w:t>
      </w:r>
    </w:p>
    <w:p>
      <w:pPr>
        <w:pStyle w:val="kar_subparagraph"/>
      </w:pPr>
      <w:r>
        <w:rPr>
          <w:u w:val="single"/>
        </w:rPr>
        <w:t xml:space="preserve">6.</w:t>
      </w:r>
      <w:r>
        <w:t xml:space="preserve"> </w:t>
      </w:r>
      <w:r>
        <w:rPr>
          <w:u w:val="single"/>
        </w:rPr>
        <w:t xml:space="preserve">The timing of surveys and make ready.</w:t>
      </w:r>
    </w:p>
    <w:p>
      <w:pPr>
        <w:pStyle w:val="kar_paragraph"/>
      </w:pPr>
      <w:r>
        <w:rPr>
          <w:u w:val="single"/>
        </w:rPr>
        <w:t xml:space="preserve">(e)</w:t>
      </w:r>
      <w:r>
        <w:t xml:space="preserve"> </w:t>
      </w:r>
      <w:r>
        <w:rPr>
          <w:u w:val="single"/>
        </w:rP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rPr>
          <w:u w:val="single"/>
        </w:rPr>
        <w:t xml:space="preserve">(f)</w:t>
      </w:r>
      <w:r>
        <w:t>[</w:t>
      </w:r>
      <w:r>
        <w:rPr>
          <w:strike w:val="true"/>
        </w:rPr>
        <w:t xml:space="preserve">(e)</w:t>
      </w:r>
      <w:r>
        <w:t>]</w:t>
      </w:r>
      <w:r>
        <w:t xml:space="preserve"> </w:t>
      </w:r>
      <w:r>
        <w:rPr>
          <w:b/>
          <w:u w:val="single"/>
        </w:rPr>
        <w:t xml:space="preserve">For the calculation of any deadlines in this regulation a</w:t>
      </w:r>
      <w:r>
        <w:t>[</w:t>
      </w:r>
      <w:r>
        <w:rPr>
          <w:b/>
          <w:strike w:val="true"/>
        </w:rPr>
        <w:t xml:space="preserve">A</w:t>
      </w:r>
      <w:r>
        <w:t>]</w:t>
      </w:r>
      <w:r>
        <w:t xml:space="preserve"> utility may treat multiple </w:t>
      </w:r>
      <w:r>
        <w:rPr>
          <w:b/>
          <w:u w:val="single"/>
        </w:rPr>
        <w:t xml:space="preserve">applications</w:t>
      </w:r>
      <w:r>
        <w:t>[</w:t>
      </w:r>
      <w:r>
        <w:rPr>
          <w:b/>
          <w:strike w:val="true"/>
        </w:rPr>
        <w:t xml:space="preserve">requests</w:t>
      </w:r>
      <w:r>
        <w:t>]</w:t>
      </w:r>
      <w:r>
        <w:t xml:space="preserve"> from a single new attacher as one (1) </w:t>
      </w:r>
      <w:r>
        <w:rPr>
          <w:b/>
          <w:u w:val="single"/>
        </w:rPr>
        <w:t xml:space="preserve">application</w:t>
      </w:r>
      <w:r>
        <w:t>[</w:t>
      </w:r>
      <w:r>
        <w:rPr>
          <w:b/>
          <w:strike w:val="true"/>
        </w:rPr>
        <w:t xml:space="preserve">request</w:t>
      </w:r>
      <w:r>
        <w:t>]</w:t>
      </w:r>
      <w:r>
        <w:t xml:space="preserve"> if the </w:t>
      </w:r>
      <w:r>
        <w:rPr>
          <w:b/>
          <w:u w:val="single"/>
        </w:rPr>
        <w:t xml:space="preserve">applications</w:t>
      </w:r>
      <w:r>
        <w:t>[</w:t>
      </w:r>
      <w:r>
        <w:rPr>
          <w:b/>
          <w:strike w:val="true"/>
        </w:rPr>
        <w:t xml:space="preserve">requests</w:t>
      </w:r>
      <w:r>
        <w:t>]</w:t>
      </w:r>
      <w:r>
        <w:t xml:space="preserve"> are submitted </w:t>
      </w:r>
      <w:r>
        <w:rPr>
          <w:b/>
          <w:u w:val="single"/>
        </w:rPr>
        <w:t xml:space="preserve">within thirty (30) days of</w:t>
      </w:r>
      <w:r>
        <w:t>[</w:t>
      </w:r>
      <w:r>
        <w:rPr>
          <w:b/>
          <w:strike w:val="true"/>
          <w:u w:val="single"/>
        </w:rPr>
        <w:t xml:space="preserve">during the same calendar month as</w:t>
      </w:r>
      <w:r>
        <w:t>]</w:t>
      </w:r>
      <w:r>
        <w:t>[</w:t>
      </w:r>
      <w:r>
        <w:rPr>
          <w:strike w:val="true"/>
        </w:rPr>
        <w:t xml:space="preserve">within thirty (30) days of</w:t>
      </w:r>
      <w:r>
        <w:t>]</w:t>
      </w:r>
      <w:r>
        <w:t xml:space="preserve"> one another; and</w:t>
      </w:r>
    </w:p>
    <w:p>
      <w:pPr>
        <w:pStyle w:val="kar_paragraph"/>
      </w:pPr>
      <w:r>
        <w:rPr>
          <w:u w:val="single"/>
        </w:rPr>
        <w:t xml:space="preserve">(g)</w:t>
      </w:r>
      <w:r>
        <w:t>[</w:t>
      </w:r>
      <w:r>
        <w:rPr>
          <w:strike w:val="true"/>
        </w:rPr>
        <w:t xml:space="preserve">(f)</w:t>
      </w:r>
      <w:r>
        <w:t>]</w:t>
      </w:r>
      <w:r>
        <w:t xml:space="preserve"> </w:t>
      </w:r>
      <w:r>
        <w:t xml:space="preserve">As soon as reasonably practicable, but no less than </w:t>
      </w:r>
      <w:r>
        <w:rPr>
          <w:u w:val="single"/>
        </w:rPr>
        <w:t xml:space="preserve">ninety (90)</w:t>
      </w:r>
      <w:r>
        <w:t>[</w:t>
      </w:r>
      <w:r>
        <w:rPr>
          <w:strike w:val="true"/>
        </w:rPr>
        <w:t xml:space="preserve">sixty (60)</w:t>
      </w:r>
      <w:r>
        <w:t>]</w:t>
      </w:r>
      <w:r>
        <w:t xml:space="preserve">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w:t>
      </w:r>
      <w:r>
        <w:t>[</w:t>
      </w:r>
      <w:r>
        <w:rPr>
          <w:strike w:val="true"/>
        </w:rPr>
        <w:t xml:space="preserve">high volume </w:t>
      </w:r>
      <w:r>
        <w:t>]</w:t>
      </w:r>
      <w:r>
        <w:t xml:space="preserve">request.</w:t>
      </w:r>
    </w:p>
    <w:p>
      <w:pPr>
        <w:pStyle w:val="kar_subsection"/>
      </w:pPr>
      <w:r>
        <w:rPr>
          <w:u w:val="single"/>
        </w:rPr>
        <w:t xml:space="preserve">(9)</w:t>
      </w:r>
      <w:r>
        <w:t>[</w:t>
      </w:r>
      <w:r>
        <w:rPr>
          <w:strike w:val="true"/>
        </w:rPr>
        <w:t xml:space="preserve">(8)</w:t>
      </w:r>
      <w:r>
        <w:t>]</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w:t>
      </w:r>
      <w:r>
        <w:rPr>
          <w:b/>
          <w:u w:val="single"/>
        </w:rPr>
        <w:t xml:space="preserve">120</w:t>
      </w:r>
      <w:r>
        <w:t>[</w:t>
      </w:r>
      <w:r>
        <w:rPr>
          <w:b/>
          <w:strike w:val="true"/>
        </w:rPr>
        <w:t xml:space="preserve">105</w:t>
      </w:r>
      <w:r>
        <w:t>]</w:t>
      </w:r>
      <w:r>
        <w:t xml:space="preserve"> days in the case of larger orders specified in subsection </w:t>
      </w:r>
      <w:r>
        <w:rPr>
          <w:u w:val="single"/>
        </w:rPr>
        <w:t xml:space="preserve">(8)</w:t>
      </w:r>
      <w:r>
        <w:t>[</w:t>
      </w:r>
      <w:r>
        <w:rPr>
          <w:strike w:val="true"/>
        </w:rPr>
        <w:t xml:space="preserve">(6)</w:t>
      </w:r>
      <w:r>
        <w:t>]</w:t>
      </w:r>
      <w:r>
        <w:t xml:space="preserve">(b) and (c) of this section). The existing attacher shall not deviate from the time limits established in this section for a period for longer than necessary to complete make-ready on the affected poles.</w:t>
      </w:r>
    </w:p>
    <w:p>
      <w:pPr>
        <w:pStyle w:val="kar_subsection"/>
      </w:pPr>
      <w:r>
        <w:rPr>
          <w:u w:val="single"/>
        </w:rPr>
        <w:t xml:space="preserve">(10)</w:t>
      </w:r>
      <w:r>
        <w:t>[</w:t>
      </w:r>
      <w:r>
        <w:rPr>
          <w:strike w:val="true"/>
        </w:rPr>
        <w:t xml:space="preserve">(9)</w:t>
      </w:r>
      <w:r>
        <w:t>]</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w:t>
      </w:r>
      <w:r>
        <w:rPr>
          <w:u w:val="single"/>
        </w:rPr>
        <w:t xml:space="preserve"> The make-ready shall be performed in compliance with this administrative regulation, the utility's tariff, and the construction standards listed on the utility's Web site. Make-ready work performed by the new attacher within the electric space shall be conducted by an approved contractor listed on the utility's Web 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rPr>
          <w:u w:val="single"/>
        </w:rPr>
        <w:t xml:space="preserve">(11)</w:t>
      </w:r>
      <w:r>
        <w:t>[</w:t>
      </w:r>
      <w:r>
        <w:rPr>
          <w:strike w:val="true"/>
        </w:rPr>
        <w:t xml:space="preserve">(10)</w:t>
      </w:r>
      <w:r>
        <w:t>]</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rPr>
          <w:u w:val="single"/>
        </w:rPr>
        <w:t xml:space="preserve">The complainant shall serve a copy of the complaint on the defendant at the same time as it files the complaint with the commission.</w:t>
      </w:r>
      <w:r>
        <w:t>[</w:t>
      </w:r>
      <w:r>
        <w:rPr>
          <w:strike w:val="true"/>
        </w:rPr>
        <w:t xml:space="preserve">The filing party shall file two (2) copies in paper medium with the commission in the manner required by 807 KAR 5:001, Section 8(12)(a)2.</w:t>
      </w:r>
      <w:r>
        <w:t>]</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w:t>
      </w:r>
      <w:r>
        <w:rPr>
          <w:u w:val="single"/>
        </w:rPr>
        <w:t xml:space="preserve">sixty (60)</w:t>
      </w:r>
      <w:r>
        <w:t>[</w:t>
      </w:r>
      <w:r>
        <w:rPr>
          <w:strike w:val="true"/>
        </w:rPr>
        <w:t xml:space="preserve">180</w:t>
      </w:r>
      <w:r>
        <w:t>]</w:t>
      </w:r>
      <w:r>
        <w:t xml:space="preserve"> days of a complaint establishing a prima facie case being filed, unless the commission finds it is necessary to continue the proceeding for good cause for up to </w:t>
      </w:r>
      <w:r>
        <w:rPr>
          <w:u w:val="single"/>
        </w:rPr>
        <w:t xml:space="preserve">180</w:t>
      </w:r>
      <w:r>
        <w:t>[</w:t>
      </w:r>
      <w:r>
        <w:rPr>
          <w:strike w:val="true"/>
        </w:rPr>
        <w:t xml:space="preserve">360</w:t>
      </w:r>
      <w:r>
        <w:t>]</w:t>
      </w:r>
      <w:r>
        <w:t xml:space="preserve"> days from the date the complaint establishing a prima facie case is filed.</w:t>
      </w:r>
    </w:p>
    <w:p>
      <w:pPr>
        <w:pStyle w:val="kar_paragraph"/>
      </w:pPr>
      <w:r>
        <w:t xml:space="preserve">(b)</w:t>
      </w:r>
      <w:r>
        <w:t xml:space="preserve"> </w:t>
      </w:r>
      <w:r>
        <w:t xml:space="preserve">The period within which final action shall be taken may be extended beyond </w:t>
      </w:r>
      <w:r>
        <w:rPr>
          <w:u w:val="single"/>
        </w:rPr>
        <w:t xml:space="preserve">180</w:t>
      </w:r>
      <w:r>
        <w:t>[</w:t>
      </w:r>
      <w:r>
        <w:rPr>
          <w:strike w:val="true"/>
        </w:rPr>
        <w:t xml:space="preserve">360</w:t>
      </w:r>
      <w:r>
        <w:t>]</w:t>
      </w:r>
      <w:r>
        <w:t xml:space="preserve"> days upon agreement of the complainant and defendant and approval of the commission.</w:t>
      </w:r>
    </w:p>
    <w:p>
      <w:pPr>
        <w:pStyle w:val="kar_signature"/>
      </w:pPr>
      <w:r>
        <w:t xml:space="preserve">This is to certify that the Public Service Commission approved promulgation of this emergency administrative regulation amended after comment, pursuant to KRS 278.040(3), on August 15, 2024.</w:t>
      </w:r>
    </w:p>
    <w:p>
      <w:pPr>
        <w:pStyle w:val="kar_signature"/>
      </w:pPr>
      <w:r>
        <w:t xml:space="preserve">LINDA BRIDWELL, P.E., Executive Director</w:t>
      </w:r>
    </w:p>
    <w:p>
      <w:pPr>
        <w:pStyle w:val="kar_signature"/>
      </w:pPr>
      <w:r>
        <w:t xml:space="preserve">ANGIE HATTON, Chairman</w:t>
      </w:r>
    </w:p>
    <w:p>
      <w:pPr>
        <w:pStyle w:val="kar_approved_by"/>
      </w:pPr>
      <w:r>
        <w:t xml:space="preserve">APPROVED BY AGENCY: August 15, 2024</w:t>
      </w:r>
    </w:p>
    <w:p>
      <w:pPr>
        <w:pStyle w:val="kar_filed"/>
      </w:pPr>
      <w:r>
        <w:t xml:space="preserve">FILED WITH LRC: August 15, 2024 at 10:00 a.m.</w:t>
      </w:r>
    </w:p>
    <w:p>
      <w:pPr>
        <w:pStyle w:val="kar_contact_person"/>
      </w:pPr>
      <w:r>
        <w:t xml:space="preserve">CONTACT PERSON: John E.B. Pinney, Executive Advisor, Kentucky Public Service Commission, 211 Sower Boulevard, Frankfort, Kentucky 40601, phone (502) 782-2587, fax (502) 564-7279, email jeb.pinney@ky.gov.</w:t>
      </w:r>
    </w:p>
    <w:p>
      <w:pPr>
        <w:pStyle w:val="kar_form_name"/>
      </w:pPr>
      <w:r>
        <w:t xml:space="preserve">REGULATORY IMPACT ANALYSIS AND TIERING STATEMENT</w:t>
      </w:r>
    </w:p>
    <w:p>
      <w:pPr>
        <w:pStyle w:val="kar_normal"/>
        <w:ind w:left="0"/>
      </w:pPr>
      <w:r>
        <w:t xml:space="preserve">Contact Person:</w:t>
      </w:r>
      <w:r>
        <w:t xml:space="preserve"> John E.B. Pinney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process by which the commission regulates the rates, terms, and conditions of utility pole attachments and access to other utility facilities, amends the specific criteria and procedures for certain types of pole attachment applications for obtaining access to utility poles within the Kentucky Public Service Commission’s jurisdiction, and establishes a process by which the complaints of those seeking to access utility facilities shall be addressed within the period established by federal law. The emergency amendments address issues pertaining to expediting certain applications to attach broadband facilities to the poles of utilities subject to the jurisdiction of the Public Service Commission. </w:t>
      </w:r>
    </w:p>
    <w:p>
      <w:pPr>
        <w:pStyle w:val="kar_normal"/>
        <w:ind w:left="576"/>
      </w:pPr>
      <w:r>
        <w:t xml:space="preserve">(b) The necessity of this administrative regulation:</w:t>
      </w:r>
    </w:p>
    <w:p>
      <w:pPr>
        <w:pStyle w:val="kar_normal"/>
        <w:ind w:left="720"/>
      </w:pPr>
      <w:r>
        <w:t xml:space="preserve">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w:t>
      </w:r>
    </w:p>
    <w:p>
      <w:pPr>
        <w:pStyle w:val="kar_normal"/>
        <w:ind w:left="576"/>
      </w:pPr>
      <w:r>
        <w:t xml:space="preserve">(c) How this administrative regulation conforms to the content of the authorizing statutes:</w:t>
      </w:r>
    </w:p>
    <w:p>
      <w:pPr>
        <w:pStyle w:val="kar_normal"/>
        <w:ind w:left="720"/>
      </w:pPr>
      <w:r>
        <w:t xml:space="preserve">KRS 278.040(3) authorizes the Commission to adopt reasonable regulations to implement the provisions of KRS Chapter 278. KRS 278.040(2) states that the PSC has exclusive jurisdiction over the regulation of rates and services of utilities. KRS 278.030(1) provides that all rates received by a utility shall be fair, just, and reasonable. KRS 278.030(2) provides that every utility shall furnish adequate, efficient, and reasonable service. In Kentucky CATV Ass’n v. Volz, 675 S.W.2d 393 (Ky. App. 1983), the Court of Appeals held that utility pole attachments are a service that is provided for a rate. 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amendments will expedite deployment of broadband internet service in rural areas of the Commonwealth places unserved and underserved citizens at a disadvantage and recounts that funds from the Broadband Equity, Access, and Deployment Program and the Rural Digital Opportunity Fund that will be used to assist in deploying broadband internet service to unserved and underserved areas.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after comment: (1) clarify which timelines apply to which size of pole attachment application; (2) amend several timelines which the emergency regulation had incorrectly stated; (3) remove confusing language regarding how to calculate when a special contract is required for multiple orders for attachments received over a period of time; and (4) corrects an inadvertent omission of changing reference to a specific subsection from the emergency regulation </w:t>
      </w:r>
    </w:p>
    <w:p>
      <w:pPr>
        <w:pStyle w:val="kar_normal"/>
        <w:ind w:left="576"/>
      </w:pPr>
      <w:r>
        <w:t xml:space="preserve">(b) The necessity of the amendment to this administrative regulation:</w:t>
      </w:r>
    </w:p>
    <w:p>
      <w:pPr>
        <w:pStyle w:val="kar_normal"/>
        <w:ind w:left="720"/>
      </w:pPr>
      <w:r>
        <w:t xml:space="preserve">The original emergency amendments to the regulation expanded from 1,000 poles to 3,000 poles the threshold for when an attached must request a special contract with a pole owner. The emergency amendment also established new deadlines by which certain actions must be taken by a pole owner. The new deadlines proved the actions must be completed within 45 days of receipt of an application, and the deadline would increase 15 days for each 500 pole increment. For example, for an application for 500 poles or less, the deadline is 45 days, for 501-1,000 poles the deadline is 60 day, and for an application of 2,501-3,000 poles the deadline is 120 days. The Commission, in several instances in the emergency regulation, incorrectly stated the maximum deadline was 105 days. The amendments after comment correct this and other errors in calculating deadlines.  The amendments after comment address ambiguity noted by several commenters concerning when a special contract is required under Section 4(8)(d). Commenters specifically noted that it was difficult to calculate when applications over a five (5) month period would trigger the requirement for a special contract. The Commission has deleted the ambiguous language because it was not helpful and could cause confusion.  The amendments after comment also amended Section 4(8)(f) to clarify how multiple applications may be considered one application for the purposes of applying relevant timelines in the regulation. </w:t>
      </w:r>
    </w:p>
    <w:p>
      <w:pPr>
        <w:pStyle w:val="kar_normal"/>
        <w:ind w:left="576"/>
      </w:pPr>
      <w:r>
        <w:t xml:space="preserve">(c) How the amendment conforms to the content of the authorizing statutes:</w:t>
      </w:r>
    </w:p>
    <w:p>
      <w:pPr>
        <w:pStyle w:val="kar_normal"/>
        <w:ind w:left="720"/>
      </w:pPr>
      <w:r>
        <w:t xml:space="preserve">KRS 278.040(3) authorizes the Commission to adopt reasonable regulations to implement the provisions of KRS Chapter 278. 2024 Kentucky S.J.R. 175, 2024 Regular Session requires the Commission to promulgate emergency regulations addressing issues pertaining to broadband attachments to utility poles. The amendments after comment should assist in the processing of broadband attachments by providing clarity and correcting statements of deadlines, clarifying the applicable deadlines, and removing ambiguity from how numbers of poles are calculated in multiple attachments which triggers the need for a special contract. </w:t>
      </w:r>
    </w:p>
    <w:p>
      <w:pPr>
        <w:pStyle w:val="kar_normal"/>
        <w:ind w:left="576"/>
      </w:pPr>
      <w:r>
        <w:t xml:space="preserve">(d) How the amendment will assist in the effective administration of the statutes:</w:t>
      </w:r>
    </w:p>
    <w:p>
      <w:pPr>
        <w:pStyle w:val="kar_normal"/>
        <w:ind w:left="720"/>
      </w:pPr>
      <w:r>
        <w:t xml:space="preserve">The amendments will hasten the review the processing of pole attachment applications and increase the speed at which pole attachments are made which meet the requirements of 2024 Kentucky S.J.R. 175, 2024 Regular Session directing the Public Service Commission to promulgate emergency amendments to promote the deployment of broadband in unserved or underserved areas of the Commonwealth. The amendments after comment should assist in the faster processing of broadband attachments by providing clarity and correcting statements of deadlines, clarifying the applicable deadlines, and removing ambiguity from how numbers of poles are calculated in multiple attachments which triggers the need for a special contract.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will primarily affect regulated utilities in Kentucky that own or control utility poles, including investor owned electric utilities, rural electric cooperatives, and incumbent local exchange carriers. There are currently four investor owned electric utilities, 21 rural electric cooperates, and 20 incumbent local exchange carriers, which include investor owned telephone utilities and telephone cooperatives, operating in Kentucky.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commission does not anticipate the regulated entities having to take additional actions to comply with the amendments after comment.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regulated entities will incur some initial costs in updating their tariffs to comply with the original emergency administrative regulation. However they will not be required to file additional tariffs in response to the amendments after comment. </w:t>
      </w:r>
    </w:p>
    <w:p>
      <w:pPr>
        <w:pStyle w:val="kar_normal"/>
        <w:ind w:left="576"/>
      </w:pPr>
      <w:r>
        <w:t xml:space="preserve">(c) As a result of compliance, what benefits will accrue to the entities identified in question (3):</w:t>
      </w:r>
    </w:p>
    <w:p>
      <w:pPr>
        <w:pStyle w:val="kar_normal"/>
        <w:ind w:left="720"/>
      </w:pPr>
      <w:r>
        <w:t xml:space="preserve">The adoption of a uniform process to expedite broadband deployment should reduce potential conflicts in the future that would have to be resolved through the complaint process. This should reduce the overall cost of pole attachments for utilities and attachers by reducing or eliminating costly delays. The amendments after comment remove ambiguities that could have contributed to unnecessary delays.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Zero Dollars, no fiscal impact. </w:t>
      </w:r>
    </w:p>
    <w:p>
      <w:pPr>
        <w:pStyle w:val="kar_normal"/>
        <w:ind w:left="576"/>
      </w:pPr>
      <w:r>
        <w:t xml:space="preserve">(b) On a continuing basis:</w:t>
      </w:r>
    </w:p>
    <w:p>
      <w:pPr>
        <w:pStyle w:val="kar_normal"/>
        <w:ind w:left="720"/>
      </w:pPr>
      <w:r>
        <w:t xml:space="preserve">Zero Dollars, no fiscal impact.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does not anticipate this amendment increasing its enforcement cost. The commission currently funds enforcement of this regulation through its general operating budget funded through annual assessments paid by regulated utilities pursuant to KRS 278.130, et. seq., and this amendment has no effect on that funding.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fiscal impact.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 and existing fees will not be affected. </w:t>
      </w:r>
    </w:p>
    <w:p>
      <w:pPr>
        <w:pStyle w:val="kar_normal"/>
        <w:ind w:left="288"/>
      </w:pPr>
      <w:r>
        <w:t xml:space="preserve">(9) TIERING: Is tiering applied?</w:t>
      </w:r>
    </w:p>
    <w:p>
      <w:pPr>
        <w:pStyle w:val="kar_normal"/>
        <w:ind w:left="432"/>
      </w:pPr>
      <w:r>
        <w:t xml:space="preserve">Yes. The speed at which utilities are required to process applications and complete make ready is tiered based on the number of poles owned the utility. Tiering the regulation in this manner, which is consistent with how the federal regulation is tiered, will allow smaller utilities to process pole attachment applications at slower rates, while maintaining a relatively consistent attachment speed throughout the state.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278.040, HB 320 (2021,) SJR 175 (2024).</w:t>
      </w:r>
    </w:p>
    <w:p>
      <w:pPr>
        <w:pStyle w:val="kar_normal"/>
        <w:ind w:left="288"/>
      </w:pPr>
      <w:r>
        <w:t xml:space="preserve">(2) Identify the promulgating agency and any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No fiscal impact.</w:t>
      </w:r>
    </w:p>
    <w:p>
      <w:pPr>
        <w:pStyle w:val="kar_normal"/>
        <w:ind w:left="288"/>
      </w:pPr>
      <w:r>
        <w:t xml:space="preserve">(3) Identify affected local entities (for example: cities, counties, fire departments, school districts):</w:t>
      </w:r>
    </w:p>
    <w:p>
      <w:pPr>
        <w:pStyle w:val="kar_normal"/>
        <w:ind w:left="432"/>
      </w:pPr>
      <w:r>
        <w:t xml:space="preserve">These entities will be affected to the extent that they are seeking to attach to poles owned or controlled by regulated utilities of which there should be few requests.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Zero Dollars; no fiscal impact.</w:t>
      </w:r>
    </w:p>
    <w:p>
      <w:pPr>
        <w:pStyle w:val="kar_normal"/>
        <w:ind w:left="288"/>
      </w:pPr>
      <w:r>
        <w:t xml:space="preserve">(4) Identify additional regulated entities not listed in questions (2) or (3):</w:t>
      </w:r>
    </w:p>
    <w:p>
      <w:pPr>
        <w:pStyle w:val="kar_normal"/>
        <w:ind w:left="432"/>
      </w:pPr>
      <w:r>
        <w:t xml:space="preserve">Utilities, as defined by KRS 278.010(3), that own utility poles.</w:t>
      </w:r>
    </w:p>
    <w:p>
      <w:pPr>
        <w:pStyle w:val="kar_normal"/>
        <w:ind w:left="576"/>
      </w:pPr>
      <w:r>
        <w:t xml:space="preserve">(a) Estimate the following for the first year:</w:t>
      </w:r>
    </w:p>
    <w:p>
      <w:pPr>
        <w:pStyle w:val="kar_normal"/>
        <w:ind w:left="864"/>
      </w:pPr>
      <w:r>
        <w:t xml:space="preserve">Expenditures:</w:t>
      </w:r>
      <w:r>
        <w:t xml:space="preserve"> It is not possible to estimate the expenditures for the first year. The amount of expenditures will depend upon the volume of applications for pole attachments, as well as the utilities’ costs to engage the resources necessary to meet the requirements of the amendments to the regulation.</w:t>
      </w:r>
    </w:p>
    <w:p>
      <w:pPr>
        <w:pStyle w:val="kar_normal"/>
        <w:ind w:left="864"/>
      </w:pPr>
      <w:r>
        <w:t xml:space="preserve">Revenues:</w:t>
      </w:r>
      <w:r>
        <w:t xml:space="preserve"> It is not possible to estimate the revenues for the first year. The revenues should approximately match the expenditures incurred to process pole attachments although there may be some lag in recovery. Utilities are allowed to recover the cost of pole attachments from attachers through rates and billing of other costs.</w:t>
      </w:r>
    </w:p>
    <w:p>
      <w:pPr>
        <w:pStyle w:val="kar_normal"/>
        <w:ind w:left="864"/>
      </w:pPr>
      <w:r>
        <w:t xml:space="preserve">Cost Savings:</w:t>
      </w:r>
      <w:r>
        <w:t xml:space="preserve"> None. Expenditures and revenue should roughly match.</w:t>
      </w:r>
    </w:p>
    <w:p>
      <w:pPr>
        <w:pStyle w:val="kar_normal"/>
        <w:ind w:left="576"/>
      </w:pPr>
      <w:r>
        <w:t xml:space="preserve">(b) How will expenditures, revenues, or cost savings differ in subsequent years?</w:t>
      </w:r>
    </w:p>
    <w:p>
      <w:pPr>
        <w:pStyle w:val="kar_normal"/>
        <w:ind w:left="720"/>
      </w:pPr>
      <w:r>
        <w:t xml:space="preserve">While the amount of expenditures and revenues will vary in subsequent years the expenditures and revenues should roughly match because utilities are allowed to recover the cost of pole attachments from attachers through rates and billing of costs.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to the Public Service Commission. Pole-owning utilities are already under an obligation to allow broadband attachment to their poles at rates, terms, and conditions in their tariffs. The emergency amendments will increase the speed at which these attachments are made, but should have no significant fiscal impact over the current obligation to provide attachments. </w:t>
      </w:r>
    </w:p>
    <w:p>
      <w:pPr>
        <w:pStyle w:val="kar_normal"/>
        <w:ind w:left="576"/>
      </w:pPr>
      <w:r>
        <w:t xml:space="preserve">(b) Methodology and resources used to determine the fiscal impact:</w:t>
      </w:r>
    </w:p>
    <w:p>
      <w:pPr>
        <w:pStyle w:val="kar_normal"/>
        <w:ind w:left="720"/>
      </w:pPr>
      <w:r>
        <w:t xml:space="preserve">The Public Service Commission will not require additional resources to implement the emergency amendment. Pole-owning utilities are under an existing obligation to provide access to their poles and the emergency amendment does not increase the fiscal impact of attachments that does not already exist.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major economic impact to the Public Service Commission which will have no increased costs resulting from the emergency regulation. Other public entities that attach to utility poles will see no negative or positive fiscal impact. Pole-owning utilities will see increased costs of operation due to an increase of pole attachment requests. These costs, however, will ultimately be recovered from the entities requesting attachment to the poles.</w:t>
      </w:r>
    </w:p>
    <w:p>
      <w:pPr>
        <w:pStyle w:val="kar_normal"/>
        <w:ind w:left="576"/>
      </w:pPr>
      <w:r>
        <w:t xml:space="preserve">(b) The methodology and resources used to reach this conclusion:</w:t>
      </w:r>
    </w:p>
    <w:p>
      <w:pPr>
        <w:pStyle w:val="kar_normal"/>
        <w:ind w:left="720"/>
      </w:pPr>
      <w:r>
        <w:t xml:space="preserve">The Public Service Commission initiated a docket at the end of 2023 to review the application of 807 KAR 5:015 and invited the participation of pole-owning utilities and pole attachers. The Public Service Commission has held several conferences in this docket, during which the attachers and utilities introduced information that the incoming funds from the Broadband Equity, Access, and Deployment (BEAD) Program and the Rural Digital Opportunity Fund (RDOF) will result in a significant increase in pole attachment applications. Pole owning utilities will have to acquire the necessary personnel and resources to meet this increase in attachment applications, which will increase the utilities’ up-front expenses. The costs, however, will ultimately be recovered from the attaching entities once attachments are completed.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Currently not applicable to the regulation.</w:t>
      </w:r>
    </w:p>
    <w:p>
      <w:pPr>
        <w:pStyle w:val="kar_normal"/>
        <w:ind w:left="288"/>
      </w:pPr>
      <w:r>
        <w:t xml:space="preserve">(2) State compliance standards.</w:t>
      </w:r>
    </w:p>
    <w:p>
      <w:pPr>
        <w:pStyle w:val="kar_normal"/>
        <w:ind w:left="432"/>
      </w:pPr>
      <w:r>
        <w:t xml:space="preserve">Currently not applicable to the regulation.</w:t>
      </w:r>
    </w:p>
    <w:p>
      <w:pPr>
        <w:pStyle w:val="kar_normal"/>
        <w:ind w:left="288"/>
      </w:pPr>
      <w:r>
        <w:t xml:space="preserve">(3) Minimum or uniform standards contained in the federal mandate.</w:t>
      </w:r>
    </w:p>
    <w:p>
      <w:pPr>
        <w:pStyle w:val="kar_normal"/>
        <w:ind w:left="432"/>
      </w:pPr>
      <w:r>
        <w:t xml:space="preserve">Currently not applicable to the regulation.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Currently not applicable to the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Currently not applicable to the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c0ae42cfb4652" /><Relationship Type="http://schemas.openxmlformats.org/officeDocument/2006/relationships/settings" Target="/word/settings.xml" Id="R42ad991506c64f12" /></Relationships>
</file>