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592eb0b7a421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28:040.</w:t>
      </w:r>
      <w:r>
        <w:t xml:space="preserve"> </w:t>
      </w:r>
      <w:r>
        <w:t xml:space="preserve">Kentucky's Trauma Registry and Data Bank System.</w:t>
      </w:r>
    </w:p>
    <w:p>
      <w:pPr>
        <w:pStyle w:val="kar_markup_metadata"/>
      </w:pPr>
      <w:r>
        <w:t xml:space="preserve">RELATES TO: </w:t>
      </w:r>
      <w:r>
        <w:t xml:space="preserve">KRS 211.490, 211.492, 211.494, 211.496</w:t>
      </w:r>
    </w:p>
    <w:p>
      <w:pPr>
        <w:pStyle w:val="kar_markup_metadata"/>
      </w:pPr>
      <w:r>
        <w:t xml:space="preserve">STATUTORY AUTHORITY: </w:t>
      </w:r>
      <w:r>
        <w:t xml:space="preserve">211.494(8)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KRS 211.494(8) authorizes the Department for Public Health to promulgate administrative regulations in accordance with KRS Chapter 13A to implement a statewide trauma care system. This administrative regulation establishes the criteria for use of a trauma registry and the Kentucky Trauma Data Bank by a trauma center in the Kentucky trauma care system.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Trauma Center Registries.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All trauma centers designated by the Commissioner for Public Health in the Kentucky Trauma Care System shall: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Establish and maintain a trauma registry that is compatible with the current NTDB standards established in the National Trauma Data Standard Data Dictionary available from the American College of Surgeons at https://www.facs.org/quality-programs/trauma/quality/national-trauma-data-bank/national-trauma-data-standard/;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Have a secure, on-line system that is NTDB and HIPAA compliant.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An individual trauma center registry shall have its new or updated trauma data uploaded electronically at least quarterly to the KTDB.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Trauma Registry. The inclusion criteria for the KTDB shall be specified in the Kentucky Trauma Hospital Reference Manual incorporated by reference in 902 KAR 28:030, Section 3.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Kentucky Trauma Data Bank.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department shall maintain a single statewide Kentucky Trauma Data Bank (KTDB) to be the statewide repository for trauma registry data submitted by each designated trauma center.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request for data from the KTDB shall be directed to the Kentucky Commissioner for Public Health.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 request for a report on a specific trauma center shall be addressed to the trauma coordinator or trauma program manager of the trauma center in question.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Pursuant to KRS 211.494(6), data obtained through a trauma registry shall be considered protected health information.</w:t>
      </w:r>
    </w:p>
    <w:p>
      <w:pPr>
        <w:pStyle w:val="kar_history"/>
      </w:pPr>
      <w:r>
        <w:t xml:space="preserve">(26 Ky.R. 668; 1008; eff. 11-15-1999; 38 Ky.R. 1679; 1862; eff. 6-1-2012; Crt eff. 9-11-2019; 51 Ky.R. 816; eff. 2-13-2025.)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ba856b4c94b5e" /><Relationship Type="http://schemas.openxmlformats.org/officeDocument/2006/relationships/settings" Target="/word/settings.xml" Id="Rdc32754db04b45fd" /></Relationships>
</file>