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5c9d69c019c47be" /></Relationships>
</file>

<file path=word/document.xml><?xml version="1.0" encoding="utf-8"?>
<w:document xmlns:w="http://schemas.openxmlformats.org/wordprocessingml/2006/main">
  <w:body>
    <w:p>
      <w:pPr>
        <w:pStyle w:val="kar_citation"/>
      </w:pPr>
      <w:r>
        <w:t>702 KAR 1:116.</w:t>
      </w:r>
      <w:r>
        <w:t xml:space="preserve"> </w:t>
      </w:r>
      <w:r>
        <w:t xml:space="preserve">Annual in-service training of district board members.</w:t>
      </w:r>
    </w:p>
    <w:p>
      <w:pPr>
        <w:pStyle w:val="kar_normal"/>
      </w:pPr>
      <w:r>
        <w:t xml:space="preserve">RELATES TO: </w:t>
      </w:r>
      <w:r>
        <w:t xml:space="preserve">KRS 160.180</w:t>
      </w:r>
    </w:p>
    <w:p>
      <w:pPr>
        <w:pStyle w:val="kar_normal"/>
      </w:pPr>
      <w:r>
        <w:t xml:space="preserve">STATUTORY AUTHORITY: </w:t>
      </w:r>
      <w:r>
        <w:t xml:space="preserve">KRS 156.070, 160.180</w:t>
      </w:r>
    </w:p>
    <w:p>
      <w:pPr>
        <w:pStyle w:val="kar_normal"/>
      </w:pPr>
      <w:r>
        <w:t xml:space="preserve">CERTIFICATION STATEMENT: </w:t>
      </w:r>
    </w:p>
    <w:p>
      <w:pPr>
        <w:pStyle w:val="kar_normal"/>
      </w:pPr>
      <w:r>
        <w:t xml:space="preserve">NECESSITY, FUNCTION, AND CONFORMITY: </w:t>
      </w:r>
      <w:r>
        <w:t xml:space="preserve">KRS 156.070 authorizes the Kentucky Board of Education to manage and control the common schools, including prescribing administrative regulations the Kentucky Board of Education deems necessary for the efficient management, control, and operation of public schools. KRS 160.180 requires that all local school board members complete an established number of hours of in-service training annually, based on number of years of experience, and requires that the Kentucky Board of Education identify the criteria for fulfilling the requirements. This administrative regulation establishes standards for the annual in-service training of district board members.</w:t>
      </w:r>
    </w:p>
    <w:p>
      <w:pPr>
        <w:pStyle w:val="kar_section"/>
      </w:pPr>
      <w:r>
        <w:t xml:space="preserve">Section 1.</w:t>
      </w:r>
      <w:r>
        <w:t xml:space="preserve"> </w:t>
      </w:r>
      <w:r>
        <w:t xml:space="preserve">Content of Training.</w:t>
      </w:r>
    </w:p>
    <w:p>
      <w:pPr>
        <w:pStyle w:val="kar_subsection"/>
      </w:pPr>
      <w:r>
        <w:t xml:space="preserve">(1)</w:t>
      </w:r>
      <w:r>
        <w:t xml:space="preserve"> </w:t>
      </w:r>
      <w:r>
        <w:t xml:space="preserve">Each school district board of education member shall complete the in-service training requirements established in KRS 160.180 and this administrative regulation.</w:t>
      </w:r>
    </w:p>
    <w:p>
      <w:pPr>
        <w:pStyle w:val="kar_subsection"/>
      </w:pPr>
      <w:r>
        <w:t xml:space="preserve">(2)</w:t>
      </w:r>
      <w:r>
        <w:t xml:space="preserve"> </w:t>
      </w:r>
      <w:r>
        <w:t xml:space="preserve">Each school district board of education member shall complete training hours on the topics and at the frequency established in KRS 160.180. School district board of education members shall complete training in one (1) or more of the topics set forth in Section 2(1)(b) and (c) of this administrative regulation to satisfy the remaining training hours required by KRS 160.180.</w:t>
      </w:r>
    </w:p>
    <w:p>
      <w:pPr>
        <w:pStyle w:val="kar_subsection"/>
      </w:pPr>
      <w:r>
        <w:t xml:space="preserve">(3)</w:t>
      </w:r>
      <w:r>
        <w:t xml:space="preserve"> </w:t>
      </w:r>
      <w:r>
        <w:t xml:space="preserve">To qualify toward meeting the in-service board member training requirements of KRS 160.180 and this administrative regulation, the required training activity shall not be:</w:t>
      </w:r>
    </w:p>
    <w:p>
      <w:pPr>
        <w:pStyle w:val="kar_paragraph"/>
      </w:pPr>
      <w:r>
        <w:t xml:space="preserve">(a)</w:t>
      </w:r>
      <w:r>
        <w:t xml:space="preserve"> </w:t>
      </w:r>
      <w:r>
        <w:t xml:space="preserve">The regular work of the school board, such as the attendance of meetings or the conduct of hearings;</w:t>
      </w:r>
    </w:p>
    <w:p>
      <w:pPr>
        <w:pStyle w:val="kar_paragraph"/>
      </w:pPr>
      <w:r>
        <w:t xml:space="preserve">(b)</w:t>
      </w:r>
      <w:r>
        <w:t xml:space="preserve"> </w:t>
      </w:r>
      <w:r>
        <w:t xml:space="preserve">Irrelevant to the pertinent knowledge and skills of school board membership; or</w:t>
      </w:r>
    </w:p>
    <w:p>
      <w:pPr>
        <w:pStyle w:val="kar_paragraph"/>
      </w:pPr>
      <w:r>
        <w:t xml:space="preserve">(c)</w:t>
      </w:r>
      <w:r>
        <w:t xml:space="preserve"> </w:t>
      </w:r>
      <w:r>
        <w:t xml:space="preserve">A public relations or social activity, such as graduation or other student events.</w:t>
      </w:r>
    </w:p>
    <w:p>
      <w:pPr>
        <w:pStyle w:val="kar_section"/>
      </w:pPr>
      <w:r>
        <w:t xml:space="preserve">Section 2.</w:t>
      </w:r>
      <w:r>
        <w:t xml:space="preserve"> </w:t>
      </w:r>
      <w:r>
        <w:t xml:space="preserve">Providers of Training.</w:t>
      </w:r>
    </w:p>
    <w:p>
      <w:pPr>
        <w:pStyle w:val="kar_subsection"/>
      </w:pPr>
      <w:r>
        <w:t xml:space="preserve">(1)</w:t>
      </w:r>
      <w:r>
        <w:t xml:space="preserve"> </w:t>
      </w:r>
      <w:r>
        <w:t xml:space="preserve"> </w:t>
      </w:r>
    </w:p>
    <w:p>
      <w:pPr>
        <w:pStyle w:val="kar_paragraph"/>
      </w:pPr>
      <w:r>
        <w:t xml:space="preserve">(a)</w:t>
      </w:r>
      <w:r>
        <w:t xml:space="preserve"> </w:t>
      </w:r>
      <w:r>
        <w:t xml:space="preserve">The Kentucky School Boards Association (KSBA) shall be the provider of eight (8) hours of annual district board member in-service training for school board members, except the Kentucky School Boards Association (KSBA) shall be the provider of four (4) hours of annual district board member in-service training for school board members who are required to complete four (4) hours of annual in-service training pursuant to KRS 160.180(5)(c). Board members may acquire remaining hours of training required by KRS 160.180 from either the KSBA or other providers as described in subsection (2) of this section.</w:t>
      </w:r>
    </w:p>
    <w:p>
      <w:pPr>
        <w:pStyle w:val="kar_paragraph"/>
      </w:pPr>
      <w:r>
        <w:t xml:space="preserve">(b)</w:t>
      </w:r>
      <w:r>
        <w:t xml:space="preserve"> </w:t>
      </w:r>
      <w:r>
        <w:t xml:space="preserve">The KSBA shall offer training on no less than eight (8) of the following topics annually, four (4) of which shall include the topics set forth at subparagraphs 1.-4. of this paragraph, and shall offer training on all fourteen (14) topics at least once during every twenty-four (24) month period:</w:t>
      </w:r>
    </w:p>
    <w:p>
      <w:pPr>
        <w:pStyle w:val="kar_subparagraph"/>
      </w:pPr>
      <w:r>
        <w:t xml:space="preserve">1.</w:t>
      </w:r>
      <w:r>
        <w:t xml:space="preserve"> </w:t>
      </w:r>
      <w:r>
        <w:t xml:space="preserve">Open meetings act and open records act;</w:t>
      </w:r>
    </w:p>
    <w:p>
      <w:pPr>
        <w:pStyle w:val="kar_subparagraph"/>
      </w:pPr>
      <w:r>
        <w:t xml:space="preserve">2.</w:t>
      </w:r>
      <w:r>
        <w:t xml:space="preserve"> </w:t>
      </w:r>
      <w:r>
        <w:t xml:space="preserve">School finance;</w:t>
      </w:r>
    </w:p>
    <w:p>
      <w:pPr>
        <w:pStyle w:val="kar_subparagraph"/>
      </w:pPr>
      <w:r>
        <w:t xml:space="preserve">3.</w:t>
      </w:r>
      <w:r>
        <w:t xml:space="preserve"> </w:t>
      </w:r>
      <w:r>
        <w:t xml:space="preserve">Ethics;</w:t>
      </w:r>
    </w:p>
    <w:p>
      <w:pPr>
        <w:pStyle w:val="kar_subparagraph"/>
      </w:pPr>
      <w:r>
        <w:t xml:space="preserve">4.</w:t>
      </w:r>
      <w:r>
        <w:t xml:space="preserve"> </w:t>
      </w:r>
      <w:r>
        <w:t xml:space="preserve">Employment and evaluation of the superintendent;</w:t>
      </w:r>
    </w:p>
    <w:p>
      <w:pPr>
        <w:pStyle w:val="kar_subparagraph"/>
      </w:pPr>
      <w:r>
        <w:t xml:space="preserve">5.</w:t>
      </w:r>
      <w:r>
        <w:t xml:space="preserve"> </w:t>
      </w:r>
      <w:r>
        <w:t xml:space="preserve">Personnel relations;</w:t>
      </w:r>
    </w:p>
    <w:p>
      <w:pPr>
        <w:pStyle w:val="kar_subparagraph"/>
      </w:pPr>
      <w:r>
        <w:t xml:space="preserve">6.</w:t>
      </w:r>
      <w:r>
        <w:t xml:space="preserve"> </w:t>
      </w:r>
      <w:r>
        <w:t xml:space="preserve">Curriculum and instruction;</w:t>
      </w:r>
    </w:p>
    <w:p>
      <w:pPr>
        <w:pStyle w:val="kar_subparagraph"/>
      </w:pPr>
      <w:r>
        <w:t xml:space="preserve">7.</w:t>
      </w:r>
      <w:r>
        <w:t xml:space="preserve"> </w:t>
      </w:r>
      <w:r>
        <w:t xml:space="preserve">Superintendent and board relations;</w:t>
      </w:r>
    </w:p>
    <w:p>
      <w:pPr>
        <w:pStyle w:val="kar_subparagraph"/>
      </w:pPr>
      <w:r>
        <w:t xml:space="preserve">8.</w:t>
      </w:r>
      <w:r>
        <w:t xml:space="preserve"> </w:t>
      </w:r>
      <w:r>
        <w:t xml:space="preserve">Goal setting and decision making;</w:t>
      </w:r>
    </w:p>
    <w:p>
      <w:pPr>
        <w:pStyle w:val="kar_subparagraph"/>
      </w:pPr>
      <w:r>
        <w:t xml:space="preserve">9.</w:t>
      </w:r>
      <w:r>
        <w:t xml:space="preserve"> </w:t>
      </w:r>
      <w:r>
        <w:t xml:space="preserve">Employment and evaluation of the superintendent;</w:t>
      </w:r>
    </w:p>
    <w:p>
      <w:pPr>
        <w:pStyle w:val="kar_subparagraph"/>
      </w:pPr>
      <w:r>
        <w:t xml:space="preserve">10.</w:t>
      </w:r>
      <w:r>
        <w:t xml:space="preserve"> </w:t>
      </w:r>
      <w:r>
        <w:t xml:space="preserve">Educational services provided for the exceptional, gifted, and other special population children;</w:t>
      </w:r>
    </w:p>
    <w:p>
      <w:pPr>
        <w:pStyle w:val="kar_subparagraph"/>
      </w:pPr>
      <w:r>
        <w:t xml:space="preserve">11.</w:t>
      </w:r>
      <w:r>
        <w:t xml:space="preserve"> </w:t>
      </w:r>
      <w:r>
        <w:t xml:space="preserve">School law;</w:t>
      </w:r>
    </w:p>
    <w:p>
      <w:pPr>
        <w:pStyle w:val="kar_subparagraph"/>
      </w:pPr>
      <w:r>
        <w:t xml:space="preserve">12.</w:t>
      </w:r>
      <w:r>
        <w:t xml:space="preserve"> </w:t>
      </w:r>
      <w:r>
        <w:t xml:space="preserve">Community relations;</w:t>
      </w:r>
    </w:p>
    <w:p>
      <w:pPr>
        <w:pStyle w:val="kar_subparagraph"/>
      </w:pPr>
      <w:r>
        <w:t xml:space="preserve">13.</w:t>
      </w:r>
      <w:r>
        <w:t xml:space="preserve"> </w:t>
      </w:r>
      <w:r>
        <w:t xml:space="preserve">Policy development; and</w:t>
      </w:r>
    </w:p>
    <w:p>
      <w:pPr>
        <w:pStyle w:val="kar_subparagraph"/>
      </w:pPr>
      <w:r>
        <w:t xml:space="preserve">14.</w:t>
      </w:r>
      <w:r>
        <w:t xml:space="preserve"> </w:t>
      </w:r>
      <w:r>
        <w:t xml:space="preserve">Roles and responsibilities of the board of education and its members.</w:t>
      </w:r>
    </w:p>
    <w:p>
      <w:pPr>
        <w:pStyle w:val="kar_paragraph"/>
      </w:pPr>
      <w:r>
        <w:t xml:space="preserve">(c)</w:t>
      </w:r>
      <w:r>
        <w:t xml:space="preserve"> </w:t>
      </w:r>
      <w:r>
        <w:t xml:space="preserve">The KSBA shall coordinate with the chief state school officer annually to develop an in-service training plan for approval by the Kentucky Board of Education on or before November 1 of each year for use in the following calendar year.</w:t>
      </w:r>
    </w:p>
    <w:p>
      <w:pPr>
        <w:pStyle w:val="kar_subsection"/>
      </w:pPr>
      <w:r>
        <w:t xml:space="preserve">(2)</w:t>
      </w:r>
      <w:r>
        <w:t xml:space="preserve"> </w:t>
      </w:r>
      <w:r>
        <w:t xml:space="preserve">Training providers, other than the KSBA, shall only provide training through courses that are:</w:t>
      </w:r>
    </w:p>
    <w:p>
      <w:pPr>
        <w:pStyle w:val="kar_paragraph"/>
      </w:pPr>
      <w:r>
        <w:t xml:space="preserve">(a)</w:t>
      </w:r>
      <w:r>
        <w:t xml:space="preserve"> </w:t>
      </w:r>
      <w:r>
        <w:t xml:space="preserve">Customized for school board members;</w:t>
      </w:r>
    </w:p>
    <w:p>
      <w:pPr>
        <w:pStyle w:val="kar_paragraph"/>
      </w:pPr>
      <w:r>
        <w:t xml:space="preserve">(b)</w:t>
      </w:r>
      <w:r>
        <w:t xml:space="preserve"> </w:t>
      </w:r>
      <w:r>
        <w:t xml:space="preserve">Approved by the department; and</w:t>
      </w:r>
    </w:p>
    <w:p>
      <w:pPr>
        <w:pStyle w:val="kar_paragraph"/>
      </w:pPr>
      <w:r>
        <w:t xml:space="preserve">(c)</w:t>
      </w:r>
      <w:r>
        <w:t xml:space="preserve"> </w:t>
      </w:r>
      <w:r>
        <w:t xml:space="preserve">In compliance with the requirements of this administrative regulation.</w:t>
      </w:r>
    </w:p>
    <w:p>
      <w:pPr>
        <w:pStyle w:val="kar_subsection"/>
      </w:pPr>
      <w:r>
        <w:t xml:space="preserve">(3)</w:t>
      </w:r>
      <w:r>
        <w:t xml:space="preserve"> </w:t>
      </w:r>
      <w:r>
        <w:t xml:space="preserve"> </w:t>
      </w:r>
    </w:p>
    <w:p>
      <w:pPr>
        <w:pStyle w:val="kar_paragraph"/>
      </w:pPr>
      <w:r>
        <w:t xml:space="preserve">(a)</w:t>
      </w:r>
      <w:r>
        <w:t xml:space="preserve"> </w:t>
      </w:r>
      <w:r>
        <w:t xml:space="preserve">If board members opt to get all of their training hours through the KSBA, then they shall have KSBA credit them for these hours. If they obtain hours from any provider other than the KSBA, a copy of proof of attendance including a recitation of the time, date, location, and description of the in-service training shall be sent by the course provider to KSBA within two (2) weeks of completion of the training so that proper credit can be given.</w:t>
      </w:r>
    </w:p>
    <w:p>
      <w:pPr>
        <w:pStyle w:val="kar_paragraph"/>
      </w:pPr>
      <w:r>
        <w:t xml:space="preserve">(b)</w:t>
      </w:r>
      <w:r>
        <w:t xml:space="preserve"> </w:t>
      </w:r>
      <w:r>
        <w:t xml:space="preserve">The KSBA shall combine such hours with hours of in-service training received through KSBA training activities. These records shall be submitted annually by the KSBA to the Kentucky Board of Education.</w:t>
      </w:r>
    </w:p>
    <w:p>
      <w:pPr>
        <w:pStyle w:val="kar_paragraph"/>
      </w:pPr>
      <w:r>
        <w:t xml:space="preserve">(c)</w:t>
      </w:r>
      <w:r>
        <w:t xml:space="preserve"> </w:t>
      </w:r>
      <w:r>
        <w:t xml:space="preserve">Each provider of training hours shall conduct an evaluation of each training course, which is offered by the provider during a calendar year and submitted by a local board member for training hours credit under this administrative regulation, and compile responses to be submitted to the KSBA within sixty (60) days of completion of the training.</w:t>
      </w:r>
    </w:p>
    <w:p>
      <w:pPr>
        <w:pStyle w:val="kar_section"/>
      </w:pPr>
      <w:r>
        <w:t xml:space="preserve">Section 3.</w:t>
      </w:r>
      <w:r>
        <w:t xml:space="preserve"> </w:t>
      </w:r>
      <w:r>
        <w:t xml:space="preserve">Failure to Acquire Training. Subject to extensions granted under Section 4 of this administrative regulation, the names of all district school board members who fail to complete the required in-service training set forth in KRS 160.180 and this administrative regulation shall be transmitted by the department to the Attorney General.</w:t>
      </w:r>
    </w:p>
    <w:p>
      <w:pPr>
        <w:pStyle w:val="kar_section"/>
      </w:pPr>
      <w:r>
        <w:t xml:space="preserve">Section 4.</w:t>
      </w:r>
      <w:r>
        <w:t xml:space="preserve"> </w:t>
      </w:r>
      <w:r>
        <w:t xml:space="preserve">Extension of Time.</w:t>
      </w:r>
    </w:p>
    <w:p>
      <w:pPr>
        <w:pStyle w:val="kar_subsection"/>
      </w:pPr>
      <w:r>
        <w:t xml:space="preserve">(1)</w:t>
      </w:r>
      <w:r>
        <w:t xml:space="preserve"> </w:t>
      </w:r>
      <w:r>
        <w:t xml:space="preserve">The Kentucky Board of Education may grant newly appointed or elected school board members who take office after June 30th of a particular year an extension of time within which to acquire a maximum number of unacquired hours equal to the difference between the required number of hours and one (1) hour per month for each full month actually served during the year, and the extensions shall extend no longer than through the remainder of the term being served or the next two (2) calendar years, whichever is longer.</w:t>
      </w:r>
    </w:p>
    <w:p>
      <w:pPr>
        <w:pStyle w:val="kar_subsection"/>
      </w:pPr>
      <w:r>
        <w:t xml:space="preserve">(2)</w:t>
      </w:r>
      <w:r>
        <w:t xml:space="preserve"> </w:t>
      </w:r>
      <w:r>
        <w:t xml:space="preserve">The Kentucky Board of Education may grant newly appointed or elected members who take office prior to July 1, but on or after March 1, of a particular year an extension of time, for an appropriate period of time not to exceed two (2) calendar years, within which to obtain the balance of any required but unacquired in-service hours for the initial year of new service. An extension to acquire hours shall not exceed the difference between the required number of hours and one (1) hour per month for each full month actually served during the year.</w:t>
      </w:r>
    </w:p>
    <w:p>
      <w:pPr>
        <w:pStyle w:val="kar_subsection"/>
      </w:pPr>
      <w:r>
        <w:t xml:space="preserve">(3)</w:t>
      </w:r>
      <w:r>
        <w:t xml:space="preserve"> </w:t>
      </w:r>
      <w:r>
        <w:t xml:space="preserve">The Kentucky Board of Education, in cases of emergency as demonstrated by the district board member, may grant an extension of time within which a local board member shall complete the required hours of in-service training. Serving as a district board member less than a full year shall not constitute an emergency for which an extension may be granted pursuant to this subsection.</w:t>
      </w:r>
    </w:p>
    <w:p>
      <w:pPr>
        <w:pStyle w:val="kar_history"/>
      </w:pPr>
      <w:r>
        <w:t xml:space="preserve">(48 Ky.R. 2133, 2595; eff. 7-5-52022; 51 Ky.R. 551, 1106; eff. 12-10-2024.)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b2486ad9b9743e2" /><Relationship Type="http://schemas.openxmlformats.org/officeDocument/2006/relationships/settings" Target="/word/settings.xml" Id="R41688ae24c874c71" /></Relationships>
</file>