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29071b67414fb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(Amended at ARRS Committee)</w:t>
      </w:r>
    </w:p>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ubsection"/>
      </w:pPr>
      <w:r>
        <w:rPr>
          <w:u w:val="single"/>
        </w:rPr>
        <w:t xml:space="preserve">(9)</w:t>
      </w:r>
      <w:r>
        <w:t xml:space="preserve"> </w:t>
      </w:r>
      <w:r>
        <w:rPr>
          <w:u w:val="single"/>
        </w:rPr>
        <w:t xml:space="preserve">The owner or manager of a Kentucky licensed funeral establishment may contract with a Kentucky licensed embalmer employed by another Kentucky licensed funeral establishment to provide embalming services at the Kentucky licensed funeral establishment and pay the contracted Kentucky licensed embalmer for services rendered.</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w:t>
      </w:r>
      <w:r>
        <w:t>[</w:t>
      </w:r>
      <w:r>
        <w:rPr>
          <w:b/>
          <w:i/>
          <w:strike w:val="true"/>
        </w:rPr>
        <w:t xml:space="preserve">not </w:t>
      </w:r>
      <w:r>
        <w:t>]</w:t>
      </w:r>
      <w:r>
        <w:t xml:space="preserve">be prepared for disposition </w:t>
      </w:r>
      <w:r>
        <w:t>[</w:t>
      </w:r>
      <w:r>
        <w:rPr>
          <w:b/>
          <w:i/>
          <w:strike w:val="true"/>
        </w:rPr>
        <w:t xml:space="preserve">except </w:t>
      </w:r>
      <w:r>
        <w:t>]</w:t>
      </w:r>
      <w:r>
        <w:t xml:space="preserve">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w:t>
      </w:r>
      <w:r>
        <w:t>[</w:t>
      </w:r>
      <w:r>
        <w:rPr>
          <w:b/>
          <w:i/>
          <w:strike w:val="true"/>
        </w:rPr>
        <w:t xml:space="preserve">as set forth in this administrative regulation </w:t>
      </w:r>
      <w:r>
        <w:t>]</w:t>
      </w:r>
      <w:r>
        <w:t xml:space="preserve">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w:t>
      </w:r>
      <w:r>
        <w:rPr>
          <w:b/>
          <w:i/>
          <w:u w:val="single"/>
        </w:rPr>
        <w:t xml:space="preserve">If an establishment has</w:t>
      </w:r>
      <w:r>
        <w:t>[</w:t>
      </w:r>
      <w:r>
        <w:rPr>
          <w:b/>
          <w:i/>
          <w:strike w:val="true"/>
        </w:rPr>
        <w:t xml:space="preserve">In an instance of</w:t>
      </w:r>
      <w:r>
        <w:t>]</w:t>
      </w:r>
      <w:r>
        <w:t xml:space="preserve">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w:t>
      </w:r>
      <w:r>
        <w:t>[</w:t>
      </w:r>
      <w:r>
        <w:rPr>
          <w:strike w:val="true"/>
        </w:rPr>
        <w:t xml:space="preserve">Information and Name Change</w:t>
      </w:r>
      <w:r>
        <w:t>]</w:t>
      </w:r>
      <w:r>
        <w:rPr>
          <w:u w:val="single"/>
        </w:rPr>
        <w:t xml:space="preserve">Establishment Update</w:t>
      </w:r>
      <w:r>
        <w:t xml:space="preserv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w:t>
      </w:r>
      <w:r>
        <w:rPr>
          <w:b/>
          <w:i/>
          <w:u w:val="single"/>
        </w:rPr>
        <w:t xml:space="preserve">this administrative regulation</w:t>
      </w:r>
      <w:r>
        <w:t>[</w:t>
      </w:r>
      <w:r>
        <w:rPr>
          <w:b/>
          <w:i/>
          <w:strike w:val="true"/>
        </w:rPr>
        <w:t xml:space="preserve">these regulations</w:t>
      </w:r>
      <w:r>
        <w:t>]</w:t>
      </w:r>
      <w:r>
        <w:t xml:space="preserve">.</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w:t>
      </w:r>
      <w:r>
        <w:rPr>
          <w:strike w:val="true"/>
        </w:rPr>
        <w:t xml:space="preserve">Advertising and </w:t>
      </w:r>
      <w:r>
        <w:t>]</w:t>
      </w:r>
      <w:r>
        <w:t xml:space="preserve">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rPr>
          <w:u w:val="single"/>
        </w:rPr>
        <w:t xml:space="preserve">Advertising.</w:t>
      </w:r>
    </w:p>
    <w:p>
      <w:pPr>
        <w:pStyle w:val="kar_subsection"/>
      </w:pPr>
      <w:r>
        <w:rPr>
          <w:u w:val="single"/>
        </w:rPr>
        <w:t xml:space="preserve">(1)</w:t>
      </w:r>
      <w:r>
        <w:t xml:space="preserve"> </w:t>
      </w:r>
      <w:r>
        <w:rPr>
          <w:u w:val="single"/>
        </w:rPr>
        <w:t xml:space="preserve">A funeral establishment may engage in activity to advertise and promote its business.</w:t>
      </w:r>
    </w:p>
    <w:p>
      <w:pPr>
        <w:pStyle w:val="kar_subsection"/>
      </w:pPr>
      <w:r>
        <w:rPr>
          <w:u w:val="single"/>
        </w:rPr>
        <w:t xml:space="preserve">(2)</w:t>
      </w:r>
      <w:r>
        <w:t xml:space="preserve"> </w:t>
      </w:r>
      <w:r>
        <w:rPr>
          <w:u w:val="single"/>
        </w:rPr>
        <w:t xml:space="preserve">Promotional activity shall be available to the public and not intended to solicit the purchase of a funeral.</w:t>
      </w:r>
    </w:p>
    <w:p>
      <w:pPr>
        <w:pStyle w:val="kar_subsection"/>
      </w:pPr>
      <w:r>
        <w:rPr>
          <w:u w:val="single"/>
        </w:rPr>
        <w:t xml:space="preserve">(3)</w:t>
      </w:r>
      <w:r>
        <w:t xml:space="preserve"> </w:t>
      </w:r>
      <w:r>
        <w:rPr>
          <w:u w:val="single"/>
        </w:rPr>
        <w:t xml:space="preserve">A funeral establishment may sponsor and participate in community activities. Personal information provided by individuals attending community activities, educational activities, participating in raffles or other activities, shall not be used to contact them following the activity. A funeral establishment may respond to a question but shall not initiate contact regarding the purchase of a funeral. Any document or registration that has personal information included shall contain the following information: "The information provided shall not be used </w:t>
      </w:r>
      <w:r>
        <w:t>[</w:t>
      </w:r>
      <w:r>
        <w:rPr>
          <w:b/>
          <w:i/>
          <w:strike w:val="true"/>
          <w:u w:val="single"/>
        </w:rPr>
        <w:t xml:space="preserve">by XYZ FH </w:t>
      </w:r>
      <w:r>
        <w:t>]</w:t>
      </w:r>
      <w:r>
        <w:rPr>
          <w:u w:val="single"/>
        </w:rPr>
        <w:t xml:space="preserve">to contact </w:t>
      </w:r>
      <w:r>
        <w:rPr>
          <w:b/>
          <w:i/>
          <w:u w:val="single"/>
        </w:rPr>
        <w:t xml:space="preserve">a person</w:t>
      </w:r>
      <w:r>
        <w:t>[</w:t>
      </w:r>
      <w:r>
        <w:rPr>
          <w:b/>
          <w:i/>
          <w:strike w:val="true"/>
          <w:u w:val="single"/>
        </w:rPr>
        <w:t xml:space="preserve">me</w:t>
      </w:r>
      <w:r>
        <w:t>]</w:t>
      </w:r>
      <w:r>
        <w:rPr>
          <w:u w:val="single"/>
        </w:rPr>
        <w:t xml:space="preserve"> regarding the purchase of a funeral. If </w:t>
      </w:r>
      <w:r>
        <w:rPr>
          <w:b/>
          <w:i/>
          <w:u w:val="single"/>
        </w:rPr>
        <w:t xml:space="preserve">a person is</w:t>
      </w:r>
      <w:r>
        <w:t>[</w:t>
      </w:r>
      <w:r>
        <w:rPr>
          <w:b/>
          <w:i/>
          <w:strike w:val="true"/>
          <w:u w:val="single"/>
        </w:rPr>
        <w:t xml:space="preserve">you are</w:t>
      </w:r>
      <w:r>
        <w:t>]</w:t>
      </w:r>
      <w:r>
        <w:rPr>
          <w:u w:val="single"/>
        </w:rPr>
        <w:t xml:space="preserve"> contacted about the purchase of a funeral following an event sponsored by or in part by a funeral establishment, please contact the Kentucky State Board of Embalmers and Funeral Directors </w:t>
      </w:r>
      <w:r>
        <w:rPr>
          <w:b/>
          <w:i/>
          <w:u w:val="single"/>
        </w:rPr>
        <w:t xml:space="preserve">at</w:t>
      </w:r>
      <w:r>
        <w:t>[</w:t>
      </w:r>
      <w:r>
        <w:rPr>
          <w:b/>
          <w:i/>
          <w:strike w:val="true"/>
          <w:u w:val="single"/>
        </w:rPr>
        <w:t xml:space="preserve">;</w:t>
      </w:r>
      <w:r>
        <w:t>]</w:t>
      </w:r>
      <w:r>
        <w:rPr>
          <w:u w:val="single"/>
        </w:rPr>
        <w:t xml:space="preserve"> 502-426-4589."</w:t>
      </w:r>
    </w:p>
    <w:p>
      <w:pPr>
        <w:pStyle w:val="kar_subsection"/>
      </w:pPr>
      <w:r>
        <w:rPr>
          <w:u w:val="single"/>
        </w:rPr>
        <w:t xml:space="preserve">(4)</w:t>
      </w:r>
      <w:r>
        <w:t xml:space="preserve"> </w:t>
      </w:r>
      <w:r>
        <w:rPr>
          <w:u w:val="single"/>
        </w:rPr>
        <w:t xml:space="preserve">Meal and learn sessions shall not be considered solicitation so long as the sponsoring license holder does not collect information from attendees (information not to be collected includes names, addresses, telephone numbers, or any other form of contact for direct communication). </w:t>
      </w:r>
      <w:r>
        <w:t>[</w:t>
      </w:r>
      <w:r>
        <w:rPr>
          <w:b/>
          <w:i/>
          <w:strike w:val="true"/>
          <w:u w:val="single"/>
        </w:rPr>
        <w:t xml:space="preserve">The </w:t>
      </w:r>
      <w:r>
        <w:t>]</w:t>
      </w:r>
      <w:r>
        <w:rPr>
          <w:u w:val="single"/>
        </w:rPr>
        <w:t xml:space="preserve">Attendees may </w:t>
      </w:r>
      <w:r>
        <w:rPr>
          <w:b/>
          <w:i/>
          <w:u w:val="single"/>
        </w:rPr>
        <w:t xml:space="preserve">contact the sponsoring license holder</w:t>
      </w:r>
      <w:r>
        <w:t>[</w:t>
      </w:r>
      <w:r>
        <w:rPr>
          <w:b/>
          <w:i/>
          <w:strike w:val="true"/>
          <w:u w:val="single"/>
        </w:rPr>
        <w:t xml:space="preserve">reach out</w:t>
      </w:r>
      <w:r>
        <w:t>]</w:t>
      </w:r>
      <w:r>
        <w:rPr>
          <w:u w:val="single"/>
        </w:rPr>
        <w:t xml:space="preserve"> after the event</w:t>
      </w:r>
      <w:r>
        <w:t>[</w:t>
      </w:r>
      <w:r>
        <w:rPr>
          <w:b/>
          <w:i/>
          <w:strike w:val="true"/>
          <w:u w:val="single"/>
        </w:rPr>
        <w:t xml:space="preserve"> to the sponsoring license holder</w:t>
      </w:r>
      <w:r>
        <w:t>]</w:t>
      </w:r>
      <w:r>
        <w:rPr>
          <w:u w:val="single"/>
        </w:rPr>
        <w:t xml:space="preserve">, but the sponsoring license holder shall not contact attendees directly after the event.</w:t>
      </w:r>
    </w:p>
    <w:p>
      <w:pPr>
        <w:pStyle w:val="kar_section"/>
      </w:pPr>
      <w:r>
        <w:rPr>
          <w:u w:val="single"/>
        </w:rPr>
        <w:t xml:space="preserve">Section 11.</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r>
        <w:rPr>
          <w:u w:val="single"/>
        </w:rPr>
        <w:t xml:space="preserve"> using the appropriate form and shall return the establishment license to the board office in the case of permanent closure within ten (10) days of closure</w:t>
      </w:r>
      <w:r>
        <w:t xml:space="preserv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w:t>
      </w:r>
      <w:r>
        <w:rPr>
          <w:u w:val="single"/>
        </w:rPr>
        <w:t xml:space="preserve">6/2024</w:t>
      </w:r>
      <w:r>
        <w:t>[</w:t>
      </w:r>
      <w:r>
        <w:rPr>
          <w:strike w:val="true"/>
        </w:rPr>
        <w:t xml:space="preserve">9/2019</w:t>
      </w:r>
      <w:r>
        <w:t>]</w:t>
      </w:r>
      <w:r>
        <w:t xml:space="preserve">;</w:t>
      </w:r>
    </w:p>
    <w:p>
      <w:pPr>
        <w:pStyle w:val="kar_paragraph"/>
      </w:pPr>
      <w:r>
        <w:t xml:space="preserve">(b)</w:t>
      </w:r>
      <w:r>
        <w:t xml:space="preserve"> </w:t>
      </w:r>
      <w:r>
        <w:t xml:space="preserve">"</w:t>
      </w:r>
      <w:r>
        <w:rPr>
          <w:b/>
          <w:i/>
          <w:u w:val="single"/>
        </w:rPr>
        <w:t xml:space="preserve">Establishment Update</w:t>
      </w:r>
      <w:r>
        <w:t>[</w:t>
      </w:r>
      <w:r>
        <w:rPr>
          <w:b/>
          <w:i/>
          <w:strike w:val="true"/>
        </w:rPr>
        <w:t xml:space="preserve">Information and Name Change</w:t>
      </w:r>
      <w:r>
        <w:t>]</w:t>
      </w:r>
      <w:r>
        <w:t xml:space="preserve"> Application", </w:t>
      </w:r>
      <w:r>
        <w:rPr>
          <w:u w:val="single"/>
        </w:rPr>
        <w:t xml:space="preserve">6/2024</w:t>
      </w:r>
      <w:r>
        <w:t>[</w:t>
      </w:r>
      <w:r>
        <w:rPr>
          <w:strike w:val="true"/>
        </w:rPr>
        <w:t xml:space="preserve">9/2019</w:t>
      </w:r>
      <w:r>
        <w:t>]</w:t>
      </w:r>
      <w:r>
        <w:t xml:space="preserve">;</w:t>
      </w:r>
      <w:r>
        <w:t>[</w:t>
      </w:r>
      <w:r>
        <w:rPr>
          <w:strike w:val="true"/>
        </w:rPr>
        <w:t xml:space="preserve"> and</w:t>
      </w:r>
      <w:r>
        <w:t>]</w:t>
      </w:r>
    </w:p>
    <w:p>
      <w:pPr>
        <w:pStyle w:val="kar_paragraph"/>
      </w:pPr>
      <w:r>
        <w:t xml:space="preserve">(c)</w:t>
      </w:r>
      <w:r>
        <w:t xml:space="preserve"> </w:t>
      </w:r>
      <w:r>
        <w:t xml:space="preserve">"Establishment Renewal Application", </w:t>
      </w:r>
      <w:r>
        <w:rPr>
          <w:u w:val="single"/>
        </w:rPr>
        <w:t xml:space="preserve">6/2024;</w:t>
      </w:r>
      <w:r>
        <w:t>[</w:t>
      </w:r>
      <w:r>
        <w:rPr>
          <w:strike w:val="true"/>
        </w:rPr>
        <w:t xml:space="preserve">2017.</w:t>
      </w:r>
      <w:r>
        <w:t>]</w:t>
      </w:r>
    </w:p>
    <w:p>
      <w:pPr>
        <w:pStyle w:val="kar_paragraph"/>
      </w:pPr>
      <w:r>
        <w:rPr>
          <w:u w:val="single"/>
        </w:rPr>
        <w:t xml:space="preserve">(d)</w:t>
      </w:r>
      <w:r>
        <w:t xml:space="preserve"> </w:t>
      </w:r>
      <w:r>
        <w:rPr>
          <w:u w:val="single"/>
        </w:rPr>
        <w:t xml:space="preserve">"Notice of Manager/Owner Death", 6/2024; and</w:t>
      </w:r>
    </w:p>
    <w:p>
      <w:pPr>
        <w:pStyle w:val="kar_paragraph"/>
      </w:pPr>
      <w:r>
        <w:rPr>
          <w:u w:val="single"/>
        </w:rPr>
        <w:t xml:space="preserve">(e)</w:t>
      </w:r>
      <w:r>
        <w:t xml:space="preserve"> </w:t>
      </w:r>
      <w:r>
        <w:rPr>
          <w:u w:val="single"/>
        </w:rPr>
        <w:t xml:space="preserve">"Establishment Closure Form", 6/2024.</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r>
        <w:rPr>
          <w:b/>
          <w:i/>
          <w:u w:val="single"/>
        </w:rPr>
        <w:t xml:space="preserve"> Material incorporated by reference can also be found on the Kentucky Board of Embalmers and Funeral Directors Web site at: https://kbefd.ky.gov/Pages/forms.aspx.</w:t>
      </w:r>
    </w:p>
    <w:p>
      <w:pPr>
        <w:pStyle w:val="kar_filed"/>
      </w:pPr>
      <w:r>
        <w:t xml:space="preserve">FILED WITH LRC: December 9, 2024</w:t>
      </w:r>
    </w:p>
    <w:p>
      <w:pPr>
        <w:pStyle w:val="kar_contact_person"/>
      </w:pPr>
      <w:r>
        <w:t xml:space="preserve">CONTACT PERSON: Kanetha Dorsey, Executive Director, 9114 Leesgate Rd, Ste 4, Louisville, Kentucky 40222, phone 502-426-4589, fax 502-426-4117, email kanetha.dorsey@ky.gov.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4f3ef34474407c" /><Relationship Type="http://schemas.openxmlformats.org/officeDocument/2006/relationships/settings" Target="/word/settings.xml" Id="Ra3cf605030b54b65" /></Relationships>
</file>