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ade3762e65495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922 KAR 1:360E.</w:t>
      </w:r>
    </w:p>
    <w:p>
      <w:pPr>
        <w:pStyle w:val="kar_normal"/>
      </w:pPr>
      <w:r>
        <w:t xml:space="preserve">This emergency administrative regulation is necessary in order to immediately increase the per diem rates for specific levels of private child placing therapeutic foster care provided for children with the highest needs in the custody of the state. The Department for Community Based Services (DCBS) proposes this emergency administrative regulation to address the urgent and critical needs of children and youth with complex need requirements who currently lack stable placements within Kentucky's foster care system. The regulation proposes an immediate increase in therapeutic foster care Level II and Level III per diem rates to better support private child placing foster families and care providers serving these vulnerable populations. An increase in these specific per diem rates is necessary to ensure providers can deliver more individualized care for children with complex needs. This adjustment will ensure an increased availability of adequate resources, promote stability in placements, and reduce the number of children without appropriate care.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w:t>
      </w:r>
      <w:r>
        <w:t xml:space="preserve">This amendment is deemed to be an emergency pursuant to KRS 13A.190(1)(a)1., as adequately supporting providers who offer this specialized care for children is necessary for the health, safety, and welfare of children in the state's custody.  If further support is not provided, there will be provider closures and no one to provide care for these children. </w:t>
      </w:r>
      <w:r>
        <w:t xml:space="preserve">This emergency administrative regulation will be filed with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(Emergency Amendment)</w:t>
      </w:r>
    </w:p>
    <w:p>
      <w:pPr>
        <w:pStyle w:val="kar_citation"/>
      </w:pPr>
      <w:r>
        <w:t>922 KAR 1:360E.</w:t>
      </w:r>
      <w:r>
        <w:t xml:space="preserve"> </w:t>
      </w:r>
      <w:r>
        <w:t xml:space="preserve">Private child care placement, levels of care, and payment.</w:t>
      </w:r>
    </w:p>
    <w:p>
      <w:pPr>
        <w:pStyle w:val="kar_markup_metadata"/>
      </w:pPr>
      <w:r>
        <w:t xml:space="preserve">EFFECTIVE: January 22, 2025</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w:t>
      </w:r>
      <w:r>
        <w:rPr>
          <w:u w:val="single"/>
        </w:rPr>
        <w:t xml:space="preserve">$108.55</w:t>
      </w:r>
      <w:r>
        <w:t>[</w:t>
      </w:r>
      <w:r>
        <w:rPr>
          <w:strike w:val="true"/>
        </w:rPr>
        <w:t xml:space="preserve">$99.50</w:t>
      </w:r>
      <w:r>
        <w:t>]</w:t>
      </w:r>
      <w:r>
        <w:t xml:space="preserve"> per child; and</w:t>
      </w:r>
    </w:p>
    <w:p>
      <w:pPr>
        <w:pStyle w:val="kar_paragraph"/>
      </w:pPr>
      <w:r>
        <w:t xml:space="preserve">(b)</w:t>
      </w:r>
      <w:r>
        <w:t xml:space="preserve"> </w:t>
      </w:r>
      <w:r>
        <w:t xml:space="preserve">Level III - </w:t>
      </w:r>
      <w:r>
        <w:rPr>
          <w:u w:val="single"/>
        </w:rPr>
        <w:t xml:space="preserve">$156.34</w:t>
      </w:r>
      <w:r>
        <w:t>[</w:t>
      </w:r>
      <w:r>
        <w:rPr>
          <w:strike w:val="true"/>
        </w:rPr>
        <w:t xml:space="preserve">$139.96</w:t>
      </w:r>
      <w:r>
        <w:t>]</w:t>
      </w:r>
      <w:r>
        <w:t xml:space="preserve">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w:t>
      </w:r>
      <w:r>
        <w:rPr>
          <w:u w:val="single"/>
        </w:rPr>
        <w:t xml:space="preserve">01/25</w:t>
      </w:r>
      <w:r>
        <w:t>[</w:t>
      </w:r>
      <w:r>
        <w:rPr>
          <w:strike w:val="true"/>
        </w:rPr>
        <w:t xml:space="preserve">09/23</w:t>
      </w:r>
      <w:r>
        <w:t>]</w:t>
      </w:r>
      <w:r>
        <w:t xml:space="preserve">;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approved_by"/>
      </w:pPr>
      <w:r>
        <w:t xml:space="preserve">APPROVED BY AGENCY: January 21, 2025</w:t>
      </w:r>
    </w:p>
    <w:p>
      <w:pPr>
        <w:pStyle w:val="kar_filed"/>
      </w:pPr>
      <w:r>
        <w:t xml:space="preserve">FILED WITH LRC: January 22, 2025 at 8:43 a.m.</w:t>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Information from providers requests that a rate increase be implemented as soon as possible as private child-placing agencies for Level II and Level III therapeutic foster care to meet the increased need for behavioral health services for children with complex needs.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to ensure the availability of adequate resources for youth with specialized needs, promote stability in placements, and reduce the number of children without appropriate care. By aligning financial support with the heightened demands of these placements, this measure seeks to improve outcomes for youth, enhance recruitment and retention of foster families, and strengthen the overall capacity of Kentucky’s child welfare system.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amended administrative regulation conforms to the authorizing statutes by ensuring that children with complex needs are placed in the most appropriate, least restrictive setting. Additionally, this amendment increases the daily rate for private child placing agencies are reimbursed at a rate to meet the needs of the child.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for children with complex needs who require a higher level of care.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 for state fiscal year 2025 and 2026. The administrative body is projecting a total cost of $15,000,000 for state fiscal years 2025 and 2026.</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 comprehensive service array within available funding. The possibility of an additional budget request exists beginning in state fiscal year 2027 to continue the per diem increase and provide adequate services to children with the highest needs.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amended administrative regulation is implemented through a combination of state General Funds, federal Title IV-E (of the Social Security Act) foster care maintenance and restricted funds derived from Medicaid Title V.</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as funding was appropriated in House Bill 6 for state fiscal years 2025 and 2026.</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$5,000,000</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emergency administrative regulation is projected to cost $10,000,000 for state fiscal year 2026. There is not anticipated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576"/>
      </w:pPr>
      <w:r>
        <w:t xml:space="preserve">(a) Estimate the following for the first year:</w:t>
      </w:r>
    </w:p>
    <w:p>
      <w:pPr>
        <w:pStyle w:val="kar_normal"/>
        <w:ind w:left="864"/>
      </w:pPr>
      <w:r>
        <w:t xml:space="preserve">Expenditures:</w:t>
      </w:r>
      <w:r>
        <w:t xml:space="preserve"> No expenditures are anticipated.</w:t>
      </w:r>
    </w:p>
    <w:p>
      <w:pPr>
        <w:pStyle w:val="kar_normal"/>
        <w:ind w:left="864"/>
      </w:pPr>
      <w:r>
        <w:t xml:space="preserve">Revenues:</w:t>
      </w:r>
      <w:r>
        <w:t xml:space="preserve"> No revenues are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There are no costs to affected entities. In subsequent years, affected entities will continue to receive a per diem rate increase through this amendment for children with complex needs, requiring a higher level of care. Children in the state’s custody will benefit from having more placement options and providers that can provide the level of care they need. It is anticipated that this rate increase to therapeutic foster care levels II and III will be of benefit to the children placed in these homes through more stable placements that are specifically trained to care for children with higher therapeutic or medical needs.</w:t>
      </w:r>
    </w:p>
    <w:p>
      <w:pPr>
        <w:pStyle w:val="kar_normal"/>
        <w:ind w:left="288"/>
      </w:pPr>
      <w:r>
        <w:t xml:space="preserve">(4) Identify additional regulated entities not listed in questions (2) or (3):</w:t>
      </w:r>
    </w:p>
    <w:p>
      <w:pPr>
        <w:pStyle w:val="kar_normal"/>
        <w:ind w:left="432"/>
      </w:pPr>
      <w:r>
        <w:t xml:space="preserve">There are no additional regulated entities not listed in response to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cost an estimated $5,000,000 for the remainder of state fiscal year 2025 and $10,000,000 for state fiscal year 2026.</w:t>
      </w:r>
    </w:p>
    <w:p>
      <w:pPr>
        <w:pStyle w:val="kar_normal"/>
        <w:ind w:left="576"/>
      </w:pPr>
      <w:r>
        <w:t xml:space="preserve">(b) Methodology and resources used to determine the fiscal impact:</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proposed amended administrative regulation is estimated to have a fiscal impact of $5,000,000 to the Cabinet for Health and Family Services.</w:t>
      </w:r>
    </w:p>
    <w:p>
      <w:pPr>
        <w:pStyle w:val="kar_normal"/>
        <w:ind w:left="576"/>
      </w:pPr>
      <w:r>
        <w:t xml:space="preserve">(b) The methodology and resources used to reach this conclusion:</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e705a5c79b4741" /><Relationship Type="http://schemas.openxmlformats.org/officeDocument/2006/relationships/settings" Target="/word/settings.xml" Id="Re12f917ccdfa4741" /></Relationships>
</file>