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dfe20512074a05"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w:t>
      </w:r>
      <w:r>
        <w:rPr>
          <w:u w:val="single"/>
        </w:rPr>
        <w:t xml:space="preserve">is at least eighteen (18) years of age</w:t>
      </w:r>
      <w:r>
        <w:t>[</w:t>
      </w:r>
      <w:r>
        <w:rPr>
          <w:strike w:val="true"/>
        </w:rPr>
        <w:t xml:space="preserve">has reached his or her 18th birthday</w:t>
      </w:r>
      <w:r>
        <w:t>]</w:t>
      </w:r>
      <w:r>
        <w:t xml:space="preserve">.</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of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rPr>
          <w:u w:val="single"/>
        </w:rPr>
        <w:t xml:space="preserve">Three (3) pintails</w:t>
      </w:r>
      <w:r>
        <w:t>[</w:t>
      </w:r>
      <w:r>
        <w:rPr>
          <w:strike w:val="true"/>
        </w:rPr>
        <w:t xml:space="preserve">One (1) pintail</w:t>
      </w:r>
      <w:r>
        <w:t>]</w:t>
      </w:r>
      <w:r>
        <w:t xml:space="preserve">;</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season for waterfowl shall be from Thanksgiving Day through the last Sunday in February.</w:t>
      </w:r>
    </w:p>
    <w:p>
      <w:pPr>
        <w:pStyle w:val="kar_subsection"/>
      </w:pPr>
      <w:r>
        <w:t xml:space="preserve">(2)</w:t>
      </w:r>
      <w:r>
        <w:t xml:space="preserve"> </w:t>
      </w:r>
      <w:r>
        <w:t xml:space="preserve">The daily limit shall be three (3) waterfowl.</w:t>
      </w:r>
    </w:p>
    <w:p>
      <w:pPr>
        <w:pStyle w:val="kar_subsection"/>
      </w:pPr>
      <w:r>
        <w:t xml:space="preserve">(3)</w:t>
      </w:r>
      <w:r>
        <w:t xml:space="preserve"> </w:t>
      </w:r>
      <w:r>
        <w:t xml:space="preserve">The possession limit shall be nine (9) waterfowl.</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For the waterfowl season, the Saturday before Thanksgiving and the second Saturday in February shall be exclusive to youth hunters.</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If hunting, youth hunters shall comply with the provisions of 301 KAR 2:221 and 301 KAR 2:222 and also hunt on the applicable additional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or</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For the waterfowl season, the Sunday before Thanksgiving and the second Sunday in February shall be exclusive to veterans or active military personnel hunters.</w:t>
      </w:r>
    </w:p>
    <w:p>
      <w:pPr>
        <w:pStyle w:val="kar_subsection"/>
      </w:pPr>
      <w:r>
        <w:t xml:space="preserve">(2)</w:t>
      </w:r>
      <w:r>
        <w:t xml:space="preserve"> </w:t>
      </w:r>
      <w:r>
        <w:t xml:space="preserve">If hunting, veteran or active-duty military hunters shall comply with the provisions of 301 KAR 2:221 and 301 KAR 2:222 and also hunt on the applicable additional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signature"/>
      </w:pPr>
      <w:r>
        <w:t xml:space="preserve">Approved by the Fish and Wildlife Commission:</w:t>
      </w:r>
    </w:p>
    <w:p>
      <w:pPr>
        <w:pStyle w:val="kar_signature"/>
      </w:pPr>
      <w:r>
        <w:t xml:space="preserve">RICH STORM, Commissioner</w:t>
      </w:r>
    </w:p>
    <w:p>
      <w:pPr>
        <w:pStyle w:val="kar_approved_by"/>
      </w:pPr>
      <w:r>
        <w:t xml:space="preserve">APPROVED BY AGENCY: April 24, 2025</w:t>
      </w:r>
    </w:p>
    <w:p>
      <w:pPr>
        <w:pStyle w:val="kar_filed"/>
      </w:pPr>
      <w:r>
        <w:t xml:space="preserve">FILED WITH LRC: April 28, 2025 at 11:51 a.m.</w:t>
      </w:r>
    </w:p>
    <w:p>
      <w:pPr>
        <w:pStyle w:val="kar_comment_period"/>
      </w:pPr>
      <w:r>
        <w:t xml:space="preserve">PUBLIC HEARING AND PUBLIC COMMENT PERIOD: A public hearing on this administrative regulation shall be held on July 31, 2025, at 9:30 a.m., at KDFWR Administration Building, 1 Sportsman’s Lane,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and bag limits within federal migratory bird hunting frameworks established in 50 CFR Parts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waterfowl hunting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hunting season and bag limit requirements and providing reasonable hunting opportunity consistent with state, national, and international management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bag limit for northern pintails from 1 pintail daily to 3 pintails daily.  New harvest models employed by the USFWS allow for increased harvest and this would allow Kentucky hunters to participate.</w:t>
      </w:r>
    </w:p>
    <w:p>
      <w:pPr>
        <w:pStyle w:val="kar_normal"/>
        <w:ind w:left="576"/>
      </w:pPr>
      <w:r>
        <w:t xml:space="preserve">(b) The necessity of the amendment to this administrative regulation:</w:t>
      </w:r>
    </w:p>
    <w:p>
      <w:pPr>
        <w:pStyle w:val="kar_normal"/>
        <w:ind w:left="720"/>
      </w:pPr>
      <w:r>
        <w:t xml:space="preserve">Waterfowl seasons and limits are set on an annual basis following the establishment of federal frameworks by the USFWS each year. It is the Department’s responsibility to allow quality hunting opportunity within these federal frameworks. The changes in bag limit maximizes the hunting opportunity allowed by federal frameworks.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20,000 duck hunters in Kentucky which would benefit from increased bag limits on northern pintail.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changes in bag limits will be published in the fall waterfowl hunting guide and on the department’s website. Hunters will need to follow all applicable amendments to the hunting bag limits.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Federal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increase any fees indirectly.</w:t>
      </w:r>
    </w:p>
    <w:p>
      <w:pPr>
        <w:pStyle w:val="kar_normal"/>
        <w:ind w:left="288"/>
      </w:pPr>
      <w:r>
        <w:t xml:space="preserve">(9) TIERING: Is tiering applied?</w:t>
      </w:r>
    </w:p>
    <w:p>
      <w:pPr>
        <w:pStyle w:val="kar_normal"/>
        <w:ind w:left="432"/>
      </w:pPr>
      <w:r>
        <w:t xml:space="preserve">Tiering was not applied.  The same guidelines and limits apply to all waterfowl hunters.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150.360, 150.600, 50 C.F.R. 20, 21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normal"/>
        <w:ind w:left="288"/>
      </w:pPr>
      <w:r>
        <w:t xml:space="preserve">(3)(a) Identify the promulgating agency and any other affected state units, parts, or divisions:</w:t>
      </w:r>
    </w:p>
    <w:p>
      <w:pPr>
        <w:pStyle w:val="kar_normal"/>
        <w:ind w:left="432"/>
      </w:pPr>
      <w:r>
        <w:t xml:space="preserve">The Department’s Wildlife Division and Law Enforcement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will be necessitated by the amendments to this administrative regulation during the first year.</w:t>
      </w:r>
    </w:p>
    <w:p>
      <w:pPr>
        <w:pStyle w:val="kar_normal"/>
        <w:ind w:left="864"/>
      </w:pPr>
      <w:r>
        <w:t xml:space="preserve">For subsequent years:</w:t>
      </w:r>
      <w:r>
        <w:t xml:space="preserve"> There will be no differences to expenditures in subsequent years.</w:t>
      </w:r>
    </w:p>
    <w:p>
      <w:pPr>
        <w:pStyle w:val="kar_normal"/>
        <w:ind w:left="576"/>
      </w:pPr>
      <w:r>
        <w:t xml:space="preserve">2. Revenues:</w:t>
      </w:r>
    </w:p>
    <w:p>
      <w:pPr>
        <w:pStyle w:val="kar_normal"/>
        <w:ind w:left="864"/>
      </w:pPr>
      <w:r>
        <w:t xml:space="preserve">For the first year:</w:t>
      </w:r>
      <w:r>
        <w:t xml:space="preserve"> No revenue will be generated by amendments to this administrative regulation during the first year.</w:t>
      </w:r>
    </w:p>
    <w:p>
      <w:pPr>
        <w:pStyle w:val="kar_normal"/>
        <w:ind w:left="864"/>
      </w:pPr>
      <w:r>
        <w:t xml:space="preserve">For subsequent years:</w:t>
      </w:r>
      <w:r>
        <w:t xml:space="preserve"> There will be no differences to revenues in subsequent years.</w:t>
      </w:r>
    </w:p>
    <w:p>
      <w:pPr>
        <w:pStyle w:val="kar_normal"/>
        <w:ind w:left="576"/>
      </w:pPr>
      <w:r>
        <w:t xml:space="preserve">3. Cost Savings:</w:t>
      </w:r>
    </w:p>
    <w:p>
      <w:pPr>
        <w:pStyle w:val="kar_normal"/>
        <w:ind w:left="864"/>
      </w:pPr>
      <w:r>
        <w:t xml:space="preserve">For the first year:</w:t>
      </w:r>
      <w:r>
        <w:t xml:space="preserve"> No cost savings will be generated by amendments to this administrative regulation during the first year.</w:t>
      </w:r>
    </w:p>
    <w:p>
      <w:pPr>
        <w:pStyle w:val="kar_normal"/>
        <w:ind w:left="864"/>
      </w:pPr>
      <w:r>
        <w:t xml:space="preserve">For subsequent years:</w:t>
      </w:r>
      <w:r>
        <w:t xml:space="preserve"> There will be no differences to cost savings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no fiscal impact generated by the amendment to this administrative regulation. This is a small increase in the bag limit for one duck species.  This species is harvested in low numbers in Kentucky so it is not expected to create increased participation.</w:t>
      </w:r>
    </w:p>
    <w:p>
      <w:pPr>
        <w:pStyle w:val="kar_normal"/>
        <w:ind w:left="288"/>
      </w:pPr>
      <w:r>
        <w:t xml:space="preserve">(b) Methodology and resources used to reach this conclusion:</w:t>
      </w:r>
    </w:p>
    <w:p>
      <w:pPr>
        <w:pStyle w:val="kar_normal"/>
        <w:ind w:left="432"/>
      </w:pPr>
      <w:r>
        <w:t xml:space="preserve">Experience of KDFWR staff.</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These amendments will not have a “Major Economic Impact”.</w:t>
      </w:r>
    </w:p>
    <w:p>
      <w:pPr>
        <w:pStyle w:val="kar_normal"/>
        <w:ind w:left="288"/>
      </w:pPr>
      <w:r>
        <w:t xml:space="preserve">(b) The methodology and resources used to reach this conclusion:</w:t>
      </w:r>
    </w:p>
    <w:p>
      <w:pPr>
        <w:pStyle w:val="kar_normal"/>
        <w:ind w:left="432"/>
      </w:pPr>
      <w:r>
        <w:t xml:space="preserve">Experience of KDFWR staff.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76c9292584ae8" /><Relationship Type="http://schemas.openxmlformats.org/officeDocument/2006/relationships/settings" Target="/word/settings.xml" Id="Rd197c4d9b3fd4588" /></Relationships>
</file>