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0e6d5099b5436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w:t>
      </w:r>
      <w:r>
        <w:t>[</w:t>
      </w:r>
      <w:r>
        <w:rPr>
          <w:b/>
          <w:i/>
          <w:strike w:val="true"/>
        </w:rPr>
        <w:t xml:space="preserve"> 317.070,</w:t>
      </w:r>
      <w:r>
        <w:t>]</w:t>
      </w:r>
      <w:r>
        <w:t xml:space="preserve"> 317A.145</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rPr>
          <w:b/>
          <w:i/>
          <w:u w:val="single"/>
        </w:rPr>
        <w:t xml:space="preserve">KRS 317A.060 requires the Board of Cosmetology to promulgate administrative regulations concerning the course and conduct of various licensees under its jurisdiction. </w:t>
      </w:r>
      <w:r>
        <w:t xml:space="preserve">KRS 317A.145 </w:t>
      </w:r>
      <w:r>
        <w:rPr>
          <w:b/>
          <w:i/>
          <w:u w:val="single"/>
        </w:rPr>
        <w:t xml:space="preserve">requires</w:t>
      </w:r>
      <w:r>
        <w:t>[</w:t>
      </w:r>
      <w:r>
        <w:rPr>
          <w:b/>
          <w:i/>
          <w:strike w:val="true"/>
          <w:u w:val="single"/>
        </w:rPr>
        <w:t xml:space="preserve">authorizes</w:t>
      </w:r>
      <w:r>
        <w:t>]</w:t>
      </w:r>
      <w:r>
        <w:t xml:space="preserve"> the board to </w:t>
      </w:r>
      <w:r>
        <w:rPr>
          <w:b/>
          <w:i/>
          <w:u w:val="single"/>
        </w:rPr>
        <w:t xml:space="preserve">promulgate administrative regulations necessary for the administration of KRS 317A.145, relating to the investigation of</w:t>
      </w:r>
      <w:r>
        <w:t>[</w:t>
      </w:r>
      <w:r>
        <w:rPr>
          <w:b/>
          <w:i/>
          <w:strike w:val="true"/>
        </w:rPr>
        <w:t xml:space="preserve">investigate</w:t>
      </w:r>
      <w:r>
        <w:t>]</w:t>
      </w:r>
      <w:r>
        <w:t xml:space="preserve"> complaints and, </w:t>
      </w:r>
      <w:r>
        <w:rPr>
          <w:b/>
          <w:i/>
          <w:u w:val="single"/>
        </w:rPr>
        <w:t xml:space="preserve">if</w:t>
      </w:r>
      <w:r>
        <w:t>[</w:t>
      </w:r>
      <w:r>
        <w:rPr>
          <w:b/>
          <w:i/>
          <w:strike w:val="true"/>
          <w:u w:val="single"/>
        </w:rPr>
        <w:t xml:space="preserve">where</w:t>
      </w:r>
      <w:r>
        <w:t>]</w:t>
      </w:r>
      <w:r>
        <w:t xml:space="preserve"> appropriate, </w:t>
      </w:r>
      <w:r>
        <w:rPr>
          <w:b/>
          <w:i/>
          <w:u w:val="single"/>
        </w:rPr>
        <w:t xml:space="preserve">the taking of</w:t>
      </w:r>
      <w:r>
        <w:t>[</w:t>
      </w:r>
      <w:r>
        <w:rPr>
          <w:b/>
          <w:i/>
          <w:strike w:val="true"/>
          <w:u w:val="single"/>
        </w:rPr>
        <w:t xml:space="preserve">take</w:t>
      </w:r>
      <w:r>
        <w:t>]</w:t>
      </w:r>
      <w:r>
        <w:t xml:space="preserv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w:t>
      </w:r>
      <w:r>
        <w:rPr>
          <w:u w:val="single"/>
        </w:rPr>
        <w:t xml:space="preserve">signed</w:t>
      </w:r>
      <w:r>
        <w:t xml:space="preserve"> writing received or initiated 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w:t>
      </w:r>
      <w:r>
        <w:rPr>
          <w:u w:val="single"/>
        </w:rPr>
        <w:t xml:space="preserve">at least</w:t>
      </w:r>
      <w:r>
        <w:t>[</w:t>
      </w:r>
      <w:r>
        <w:rPr>
          <w:strike w:val="true"/>
        </w:rPr>
        <w:t xml:space="preserve">no more than</w:t>
      </w:r>
      <w:r>
        <w:t>]</w:t>
      </w:r>
      <w:r>
        <w:t xml:space="preserve"> two (2) board members to review complaints, initiate investigations, participate in informal proceedings to resolve complaints, and make recommendations to the board for disposition of complaints. The board staff and board counsel may assist the committee </w:t>
      </w:r>
      <w:r>
        <w:rPr>
          <w:u w:val="single"/>
        </w:rPr>
        <w:t xml:space="preserve">but </w:t>
      </w:r>
      <w:r>
        <w:rPr>
          <w:b/>
          <w:i/>
          <w:u w:val="single"/>
        </w:rPr>
        <w:t xml:space="preserve">shall not be:</w:t>
      </w:r>
      <w:r>
        <w:t>[</w:t>
      </w:r>
      <w:r>
        <w:rPr>
          <w:b/>
          <w:i/>
          <w:strike w:val="true"/>
          <w:u w:val="single"/>
        </w:rPr>
        <w:t xml:space="preserve">are not</w:t>
      </w:r>
      <w:r>
        <w:t>]</w:t>
      </w:r>
    </w:p>
    <w:p>
      <w:pPr>
        <w:pStyle w:val="kar_subsection"/>
      </w:pPr>
      <w:r>
        <w:rPr>
          <w:b/>
          <w:i/>
          <w:u w:val="single"/>
        </w:rPr>
        <w:t xml:space="preserve">(1)</w:t>
      </w:r>
      <w:r>
        <w:t xml:space="preserve"> </w:t>
      </w:r>
      <w:r>
        <w:rPr>
          <w:u w:val="single"/>
        </w:rPr>
        <w:t xml:space="preserve">Considered members of the committee</w:t>
      </w:r>
      <w:r>
        <w:rPr>
          <w:b/>
          <w:i/>
          <w:u w:val="single"/>
        </w:rPr>
        <w:t xml:space="preserve">.</w:t>
      </w:r>
      <w:r>
        <w:t>[</w:t>
      </w:r>
      <w:r>
        <w:rPr>
          <w:b/>
          <w:i/>
          <w:strike w:val="true"/>
          <w:u w:val="single"/>
        </w:rPr>
        <w:t xml:space="preserve">, nor shall staff or counsel be</w:t>
      </w:r>
      <w:r>
        <w:t>]</w:t>
      </w:r>
    </w:p>
    <w:p>
      <w:pPr>
        <w:pStyle w:val="kar_subsection"/>
      </w:pPr>
      <w:r>
        <w:rPr>
          <w:b/>
          <w:i/>
          <w:u w:val="single"/>
        </w:rPr>
        <w:t xml:space="preserve">(2)</w:t>
      </w:r>
      <w:r>
        <w:t xml:space="preserve"> </w:t>
      </w:r>
      <w:r>
        <w:rPr>
          <w:u w:val="single"/>
        </w:rPr>
        <w:t xml:space="preserve">Permitted to cast votes during the committee meetings.</w:t>
      </w:r>
    </w:p>
    <w:p>
      <w:pPr>
        <w:pStyle w:val="kar_section"/>
      </w:pPr>
      <w:r>
        <w:t xml:space="preserve">Section 3.</w:t>
      </w:r>
      <w:r>
        <w:t xml:space="preserve"> </w:t>
      </w:r>
      <w:r>
        <w:t>[</w:t>
      </w:r>
      <w:r>
        <w:rPr>
          <w:strike w:val="true"/>
        </w:rPr>
        <w:t xml:space="preserve">.</w:t>
      </w:r>
      <w:r>
        <w:t>]</w:t>
      </w:r>
      <w:r>
        <w:t>[</w:t>
      </w:r>
      <w:r>
        <w:t>]</w:t>
      </w:r>
      <w:r>
        <w:t xml:space="preserve">Complaint Procedures.</w:t>
      </w:r>
    </w:p>
    <w:p>
      <w:pPr>
        <w:pStyle w:val="kar_subsection"/>
      </w:pPr>
      <w:r>
        <w:t xml:space="preserve">(1)</w:t>
      </w:r>
      <w:r>
        <w:t xml:space="preserve"> </w:t>
      </w:r>
      <w:r>
        <w:t xml:space="preserve">Complaints shall</w:t>
      </w:r>
      <w:r>
        <w:rPr>
          <w:b/>
          <w:i/>
          <w:u w:val="single"/>
        </w:rPr>
        <w:t xml:space="preserve">:</w:t>
      </w:r>
    </w:p>
    <w:p>
      <w:pPr>
        <w:pStyle w:val="kar_paragraph"/>
      </w:pPr>
      <w:r>
        <w:rPr>
          <w:b/>
          <w:i/>
          <w:u w:val="single"/>
        </w:rPr>
        <w:t xml:space="preserve">(a)</w:t>
      </w:r>
      <w:r>
        <w:t xml:space="preserve"> </w:t>
      </w:r>
      <w:r>
        <w:t xml:space="preserve"> </w:t>
      </w:r>
    </w:p>
    <w:p>
      <w:pPr>
        <w:pStyle w:val="kar_subparagraph"/>
      </w:pPr>
      <w:r>
        <w:rPr>
          <w:b/>
          <w:i/>
          <w:u w:val="single"/>
        </w:rPr>
        <w:t xml:space="preserve">1.</w:t>
      </w:r>
      <w:r>
        <w:t xml:space="preserve"> </w:t>
      </w:r>
      <w:r>
        <w:t xml:space="preserve">Be submitted on the board's Complaint Form</w:t>
      </w:r>
      <w:r>
        <w:rPr>
          <w:b/>
          <w:i/>
          <w:u w:val="single"/>
        </w:rPr>
        <w:t xml:space="preserve">;</w:t>
      </w:r>
      <w:r>
        <w:t>[</w:t>
      </w:r>
      <w:r>
        <w:rPr>
          <w:b/>
          <w:i/>
          <w:strike w:val="true"/>
          <w:u w:val="single"/>
        </w:rPr>
        <w:t xml:space="preserve">,</w:t>
      </w:r>
      <w:r>
        <w:t>]</w:t>
      </w:r>
    </w:p>
    <w:p>
      <w:pPr>
        <w:pStyle w:val="kar_subparagraph"/>
      </w:pPr>
      <w:r>
        <w:rPr>
          <w:b/>
          <w:i/>
          <w:u w:val="single"/>
        </w:rPr>
        <w:t xml:space="preserve">2.</w:t>
      </w:r>
      <w:r>
        <w:t xml:space="preserve"> </w:t>
      </w:r>
      <w:r>
        <w:t xml:space="preserve">Be signed by the person making the complaint</w:t>
      </w:r>
      <w:r>
        <w:rPr>
          <w:b/>
          <w:i/>
          <w:u w:val="single"/>
        </w:rPr>
        <w:t xml:space="preserve">;</w:t>
      </w:r>
      <w:r>
        <w:t>[</w:t>
      </w:r>
      <w:r>
        <w:rPr>
          <w:b/>
          <w:i/>
          <w:strike w:val="true"/>
          <w:u w:val="single"/>
        </w:rPr>
        <w:t xml:space="preserve">,</w:t>
      </w:r>
      <w:r>
        <w:t>]</w:t>
      </w:r>
      <w:r>
        <w:t xml:space="preserve"> and</w:t>
      </w:r>
    </w:p>
    <w:p>
      <w:pPr>
        <w:pStyle w:val="kar_subparagraph"/>
      </w:pPr>
      <w:r>
        <w:rPr>
          <w:b/>
          <w:i/>
          <w:u w:val="single"/>
        </w:rPr>
        <w:t xml:space="preserve">3.</w:t>
      </w:r>
      <w:r>
        <w:t xml:space="preserve"> </w:t>
      </w:r>
      <w:r>
        <w:t xml:space="preserve">Describe with sufficient detail the alleged </w:t>
      </w:r>
      <w:r>
        <w:rPr>
          <w:b/>
          <w:i/>
          <w:u w:val="single"/>
        </w:rPr>
        <w:t xml:space="preserve">violation</w:t>
      </w:r>
      <w:r>
        <w:t>[</w:t>
      </w:r>
      <w:r>
        <w:rPr>
          <w:b/>
          <w:i/>
          <w:strike w:val="true"/>
          <w:u w:val="single"/>
        </w:rPr>
        <w:t xml:space="preserve">violation(s)</w:t>
      </w:r>
      <w:r>
        <w:t>]</w:t>
      </w:r>
      <w:r>
        <w:t xml:space="preserve"> of KRS Chapter 317A</w:t>
      </w:r>
      <w:r>
        <w:t>[</w:t>
      </w:r>
      <w:r>
        <w:rPr>
          <w:b/>
          <w:i/>
          <w:strike w:val="true"/>
          <w:u w:val="single"/>
        </w:rPr>
        <w:t xml:space="preserve">,</w:t>
      </w:r>
      <w:r>
        <w:t>]</w:t>
      </w:r>
      <w:r>
        <w:t xml:space="preserve"> or 201 KAR Chapter 12.</w:t>
      </w:r>
    </w:p>
    <w:p>
      <w:pPr>
        <w:pStyle w:val="kar_paragraph"/>
      </w:pPr>
      <w:r>
        <w:rPr>
          <w:b/>
          <w:i/>
          <w:u w:val="single"/>
        </w:rPr>
        <w:t xml:space="preserve">(b)</w:t>
      </w:r>
      <w:r>
        <w:t xml:space="preserve"> </w:t>
      </w:r>
      <w:r>
        <w:rPr>
          <w:u w:val="single"/>
        </w:rPr>
        <w:t xml:space="preserve">Anonymous complaints </w:t>
      </w:r>
      <w:r>
        <w:rPr>
          <w:b/>
          <w:i/>
          <w:u w:val="single"/>
        </w:rPr>
        <w:t xml:space="preserve">shall</w:t>
      </w:r>
      <w:r>
        <w:t>[</w:t>
      </w:r>
      <w:r>
        <w:rPr>
          <w:b/>
          <w:i/>
          <w:strike w:val="true"/>
          <w:u w:val="single"/>
        </w:rPr>
        <w:t xml:space="preserve">will</w:t>
      </w:r>
      <w:r>
        <w:t>]</w:t>
      </w:r>
      <w:r>
        <w:rPr>
          <w:u w:val="single"/>
        </w:rPr>
        <w:t xml:space="preserve"> not be accepted.</w:t>
      </w:r>
      <w:r>
        <w:t xml:space="preserve"> The Complaint Form shall be made available on the board's Web site at </w:t>
      </w:r>
      <w:r>
        <w:rPr>
          <w:b/>
          <w:i/>
          <w:u w:val="single"/>
        </w:rPr>
        <w:t xml:space="preserve">https://secure.kentucky.gov/formservices/KBHC/ComplaintForm</w:t>
      </w:r>
      <w:r>
        <w:t>[</w:t>
      </w:r>
      <w:r>
        <w:rPr>
          <w:b/>
          <w:i/>
          <w:strike w:val="true"/>
          <w:u w:val="single"/>
        </w:rPr>
        <w:t xml:space="preserve">http://kbc.ky.gov</w:t>
      </w:r>
      <w:r>
        <w:t>]</w:t>
      </w:r>
      <w:r>
        <w:t xml:space="preserve">.</w:t>
      </w:r>
    </w:p>
    <w:p>
      <w:pPr>
        <w:pStyle w:val="kar_subsection"/>
      </w:pPr>
      <w:r>
        <w:t xml:space="preserve">(2)</w:t>
      </w:r>
      <w:r>
        <w:t xml:space="preserve"> </w:t>
      </w:r>
      <w:r>
        <w:t xml:space="preserve">A copy of the complaint shall be provided to the respondent. The respondent shall have </w:t>
      </w:r>
      <w:r>
        <w:rPr>
          <w:u w:val="single"/>
        </w:rPr>
        <w:t xml:space="preserve">thirty (30)</w:t>
      </w:r>
      <w:r>
        <w:t>[</w:t>
      </w:r>
      <w:r>
        <w:rPr>
          <w:strike w:val="true"/>
        </w:rPr>
        <w:t xml:space="preserve">ten (10)</w:t>
      </w:r>
      <w:r>
        <w:t>]</w:t>
      </w:r>
      <w:r>
        <w:rPr>
          <w:u w:val="single"/>
        </w:rPr>
        <w:t xml:space="preserve">calendar</w:t>
      </w:r>
      <w:r>
        <w:t xml:space="preserve"> days from the date of receipt to submit a written response.</w:t>
      </w:r>
      <w:r>
        <w:t>[</w:t>
      </w:r>
      <w:r>
        <w:rPr>
          <w:b/>
          <w:i/>
          <w:strike w:val="true"/>
        </w:rPr>
        <w:t xml:space="preserve"> The complaints committee or the executive director may extend these timelines as appropriate.</w:t>
      </w:r>
      <w:r>
        <w:t>]</w:t>
      </w:r>
    </w:p>
    <w:p>
      <w:pPr>
        <w:pStyle w:val="kar_subsection"/>
      </w:pPr>
      <w:r>
        <w:t xml:space="preserve">(3)</w:t>
      </w:r>
      <w:r>
        <w:t xml:space="preserve"> </w:t>
      </w:r>
      <w:r>
        <w:t xml:space="preserve">The complaint committee </w:t>
      </w:r>
      <w:r>
        <w:rPr>
          <w:u w:val="single"/>
        </w:rPr>
        <w:t xml:space="preserve">may</w:t>
      </w:r>
      <w:r>
        <w:t>[</w:t>
      </w:r>
      <w:r>
        <w:rPr>
          <w:strike w:val="true"/>
        </w:rPr>
        <w:t xml:space="preserve">shall</w:t>
      </w:r>
      <w:r>
        <w:t>]</w:t>
      </w:r>
      <w:r>
        <w:t xml:space="preserve"> meet at regular intervals</w:t>
      </w:r>
      <w:r>
        <w:rPr>
          <w:u w:val="single"/>
        </w:rPr>
        <w:t xml:space="preserve"> as determined by the board</w:t>
      </w:r>
      <w:r>
        <w:t xml:space="preserve">.</w:t>
      </w:r>
      <w:r>
        <w:t>[</w:t>
      </w:r>
      <w:r>
        <w:rPr>
          <w:strike w:val="true"/>
        </w:rPr>
        <w:t xml:space="preserve">A complaint and any written response shall arrive ten (10) days prior to the meeting to meet the deadline for making a recommendation to the board.</w:t>
      </w:r>
      <w:r>
        <w:t>]</w:t>
      </w:r>
      <w:r>
        <w:rPr>
          <w:u w:val="single"/>
        </w:rPr>
        <w:t xml:space="preserve"> At its meetings,</w:t>
      </w:r>
      <w:r>
        <w:t xml:space="preserve"> the complaint committee shall review the complaint, the response, and any other relevant information or material available, and </w:t>
      </w:r>
      <w:r>
        <w:rPr>
          <w:u w:val="single"/>
        </w:rPr>
        <w:t xml:space="preserve">may</w:t>
      </w:r>
      <w:r>
        <w:t xml:space="preserve">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w:t>
      </w:r>
      <w:r>
        <w:t>[</w:t>
      </w:r>
      <w:r>
        <w:rPr>
          <w:strike w:val="true"/>
        </w:rPr>
        <w:t xml:space="preserve">or]</w:t>
      </w:r>
      <w:r>
        <w:t>]</w:t>
      </w:r>
    </w:p>
    <w:p>
      <w:pPr>
        <w:pStyle w:val="kar_paragraph"/>
      </w:pPr>
      <w:r>
        <w:t xml:space="preserve">(d)</w:t>
      </w:r>
      <w:r>
        <w:t xml:space="preserve"> </w:t>
      </w:r>
      <w:r>
        <w:t xml:space="preserve">Issue a notice of disciplinary action informing the respondent of:</w:t>
      </w:r>
    </w:p>
    <w:p>
      <w:pPr>
        <w:pStyle w:val="kar_subparagraph"/>
      </w:pPr>
      <w:r>
        <w:t xml:space="preserve">1.</w:t>
      </w:r>
      <w:r>
        <w:t xml:space="preserve"> </w:t>
      </w:r>
      <w:r>
        <w:rPr>
          <w:b/>
          <w:i/>
          <w:u w:val="single"/>
        </w:rPr>
        <w:t xml:space="preserve">Any statute</w:t>
      </w:r>
      <w:r>
        <w:t>[</w:t>
      </w:r>
      <w:r>
        <w:rPr>
          <w:b/>
          <w:i/>
          <w:strike w:val="true"/>
          <w:u w:val="single"/>
        </w:rPr>
        <w:t xml:space="preserve">The statute(s)</w:t>
      </w:r>
      <w:r>
        <w:t>]</w:t>
      </w:r>
      <w:r>
        <w:t xml:space="preserve"> or administrative </w:t>
      </w:r>
      <w:r>
        <w:rPr>
          <w:b/>
          <w:i/>
          <w:u w:val="single"/>
        </w:rPr>
        <w:t xml:space="preserve">regulation</w:t>
      </w:r>
      <w:r>
        <w:t>[</w:t>
      </w:r>
      <w:r>
        <w:rPr>
          <w:b/>
          <w:i/>
          <w:strike w:val="true"/>
          <w:u w:val="single"/>
        </w:rPr>
        <w:t xml:space="preserve">regulation(s)</w:t>
      </w:r>
      <w:r>
        <w:t>]</w:t>
      </w:r>
      <w:r>
        <w:t xml:space="preserve">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w:t>
      </w:r>
      <w:r>
        <w:rPr>
          <w:u w:val="single"/>
        </w:rPr>
        <w:t xml:space="preserve">; or</w:t>
      </w:r>
      <w:r>
        <w:t>[</w:t>
      </w:r>
      <w:r>
        <w:rPr>
          <w:strike w:val="true"/>
        </w:rPr>
        <w:t xml:space="preserve">.</w:t>
      </w:r>
      <w:r>
        <w:t>]</w:t>
      </w:r>
    </w:p>
    <w:p>
      <w:pPr>
        <w:pStyle w:val="kar_paragraph"/>
      </w:pPr>
      <w:r>
        <w:rPr>
          <w:u w:val="single"/>
        </w:rPr>
        <w:t xml:space="preserve">(e)</w:t>
      </w:r>
      <w:r>
        <w:t xml:space="preserve"> </w:t>
      </w:r>
      <w:r>
        <w:rPr>
          <w:u w:val="single"/>
        </w:rPr>
        <w:t xml:space="preserve">Refer the matter to the full board for its consideration.</w:t>
      </w:r>
    </w:p>
    <w:p>
      <w:pPr>
        <w:pStyle w:val="kar_subsection"/>
      </w:pPr>
      <w:r>
        <w:t xml:space="preserve">(4)</w:t>
      </w:r>
      <w:r>
        <w:t xml:space="preserve"> </w:t>
      </w:r>
      <w:r>
        <w:rPr>
          <w:b/>
          <w:i/>
          <w:u w:val="single"/>
        </w:rPr>
        <w:t xml:space="preserve">If</w:t>
      </w:r>
      <w:r>
        <w:t>[</w:t>
      </w:r>
      <w:r>
        <w:rPr>
          <w:b/>
          <w:i/>
          <w:strike w:val="true"/>
          <w:u w:val="single"/>
        </w:rPr>
        <w:t xml:space="preserve">Should</w:t>
      </w:r>
      <w:r>
        <w:t>]</w:t>
      </w:r>
      <w:r>
        <w:rPr>
          <w:u w:val="single"/>
        </w:rPr>
        <w:t xml:space="preserve"> the complaint committee </w:t>
      </w:r>
      <w:r>
        <w:rPr>
          <w:b/>
          <w:i/>
          <w:u w:val="single"/>
        </w:rPr>
        <w:t xml:space="preserve">cannot</w:t>
      </w:r>
      <w:r>
        <w:t>[</w:t>
      </w:r>
      <w:r>
        <w:rPr>
          <w:b/>
          <w:i/>
          <w:strike w:val="true"/>
          <w:u w:val="single"/>
        </w:rPr>
        <w:t xml:space="preserve">be unable to</w:t>
      </w:r>
      <w:r>
        <w:t>]</w:t>
      </w:r>
      <w:r>
        <w:rPr>
          <w:u w:val="single"/>
        </w:rPr>
        <w:t xml:space="preserve"> agree on a recommendation, the matter shall be forwarded to the full board for its consideration.</w:t>
      </w:r>
    </w:p>
    <w:p>
      <w:pPr>
        <w:pStyle w:val="kar_subsection"/>
      </w:pPr>
      <w:r>
        <w:rPr>
          <w:u w:val="single"/>
        </w:rPr>
        <w:t xml:space="preserve">(5)</w:t>
      </w:r>
      <w:r>
        <w:t>[</w:t>
      </w:r>
      <w:r>
        <w:rPr>
          <w:strike w:val="true"/>
        </w:rPr>
        <w:t xml:space="preserve">(4)</w:t>
      </w:r>
      <w:r>
        <w:t>]</w:t>
      </w:r>
      <w:r>
        <w:t xml:space="preserve"> </w:t>
      </w:r>
      <w:r>
        <w:t xml:space="preserve">A written admonishment shall not be considered disciplinary action by the board, but </w:t>
      </w:r>
      <w:r>
        <w:rPr>
          <w:b/>
          <w:i/>
          <w:u w:val="single"/>
        </w:rPr>
        <w:t xml:space="preserve">it </w:t>
      </w:r>
      <w:r>
        <w:t xml:space="preserve">may be considered in any subsequent disciplinary action against the licensee or permittee. A copy of the written admonishment shall be placed in the licensee or permittee's file at the board office.</w:t>
      </w:r>
    </w:p>
    <w:p>
      <w:pPr>
        <w:pStyle w:val="kar_subsection"/>
      </w:pPr>
      <w:r>
        <w:rPr>
          <w:u w:val="single"/>
        </w:rPr>
        <w:t xml:space="preserve">(6)</w:t>
      </w:r>
      <w:r>
        <w:t>[</w:t>
      </w:r>
      <w:r>
        <w:rPr>
          <w:strike w:val="true"/>
        </w:rPr>
        <w:t xml:space="preserve">(5)</w:t>
      </w:r>
      <w:r>
        <w:t>]</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rPr>
          <w:u w:val="single"/>
        </w:rPr>
        <w:t xml:space="preserve">(7)</w:t>
      </w:r>
      <w:r>
        <w:t>[</w:t>
      </w:r>
      <w:r>
        <w:rPr>
          <w:strike w:val="true"/>
        </w:rPr>
        <w:t xml:space="preserve">(6)</w:t>
      </w:r>
      <w:r>
        <w:t>]</w:t>
      </w:r>
      <w:r>
        <w:t xml:space="preserve"> </w:t>
      </w:r>
      <w:r>
        <w:rPr>
          <w:b/>
          <w:i/>
          <w:u w:val="single"/>
        </w:rPr>
        <w:t xml:space="preserve">To ensure an impartial decision, a board member shall disqualify himself from participating in the adjudication of a complaint if the board member has:</w:t>
      </w:r>
    </w:p>
    <w:p>
      <w:pPr>
        <w:pStyle w:val="kar_paragraph"/>
      </w:pPr>
      <w:r>
        <w:rPr>
          <w:b/>
          <w:i/>
          <w:u w:val="single"/>
        </w:rPr>
        <w:t xml:space="preserve">(a)</w:t>
      </w:r>
      <w:r>
        <w:t xml:space="preserve"> </w:t>
      </w:r>
      <w:r>
        <w:rPr>
          <w:b/>
          <w:i/>
          <w:u w:val="single"/>
        </w:rPr>
        <w:t xml:space="preserve">Participated in the investigation of a complaint; or</w:t>
      </w:r>
    </w:p>
    <w:p>
      <w:pPr>
        <w:pStyle w:val="kar_paragraph"/>
      </w:pPr>
      <w:r>
        <w:rPr>
          <w:b/>
          <w:i/>
          <w:u w:val="single"/>
        </w:rPr>
        <w:t xml:space="preserve">(b)</w:t>
      </w:r>
      <w:r>
        <w:t xml:space="preserve"> </w:t>
      </w:r>
      <w:r>
        <w:rPr>
          <w:b/>
          <w:i/>
          <w:u w:val="single"/>
        </w:rPr>
        <w:t xml:space="preserve">Substantial personal knowledge of facts concerning the complaint.</w:t>
      </w:r>
      <w:r>
        <w:t>[</w:t>
      </w:r>
      <w:r>
        <w:rPr>
          <w:b/>
          <w:i/>
          <w:strike w:val="true"/>
        </w:rP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r>
        <w: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rPr>
          <w:b/>
          <w:i/>
          <w:u w:val="single"/>
        </w:rPr>
        <w:t xml:space="preserve">At any time during this process, </w:t>
      </w:r>
      <w:r>
        <w:t xml:space="preserve">the board, through its complaints committee or counsel, may</w:t>
      </w:r>
      <w:r>
        <w:t>[</w:t>
      </w:r>
      <w:r>
        <w:rPr>
          <w:b/>
          <w:i/>
          <w:strike w:val="true"/>
          <w:u w:val="single"/>
        </w:rPr>
        <w:t xml:space="preserve">, at any time during this process,</w:t>
      </w:r>
      <w:r>
        <w:t>]</w:t>
      </w:r>
      <w:r>
        <w:t xml:space="preserve">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w:t>
      </w:r>
      <w:r>
        <w:rPr>
          <w:u w:val="single"/>
        </w:rPr>
        <w:t xml:space="preserve">calendar</w:t>
      </w:r>
      <w:r>
        <w:t xml:space="preserve"> days of the date of the board's notice that it intends to</w:t>
      </w:r>
      <w:r>
        <w:rPr>
          <w:b/>
          <w:i/>
          <w:u w:val="single"/>
        </w:rPr>
        <w:t xml:space="preserve">:</w:t>
      </w:r>
    </w:p>
    <w:p>
      <w:pPr>
        <w:pStyle w:val="kar_paragraph"/>
      </w:pPr>
      <w:r>
        <w:rPr>
          <w:b/>
          <w:i/>
          <w:u w:val="single"/>
        </w:rPr>
        <w:t xml:space="preserve">(a)</w:t>
      </w:r>
      <w:r>
        <w:t xml:space="preserve"> </w:t>
      </w:r>
      <w:r>
        <w:t xml:space="preserve">Refuse to issue or renew a license or permit</w:t>
      </w:r>
      <w:r>
        <w:rPr>
          <w:b/>
          <w:i/>
          <w:u w:val="single"/>
        </w:rPr>
        <w:t xml:space="preserve">;</w:t>
      </w:r>
      <w:r>
        <w:t>[</w:t>
      </w:r>
      <w:r>
        <w:rPr>
          <w:b/>
          <w:i/>
          <w:strike w:val="true"/>
          <w:u w:val="single"/>
        </w:rPr>
        <w:t xml:space="preserve">, to</w:t>
      </w:r>
      <w:r>
        <w:t>]</w:t>
      </w:r>
    </w:p>
    <w:p>
      <w:pPr>
        <w:pStyle w:val="kar_paragraph"/>
      </w:pPr>
      <w:r>
        <w:rPr>
          <w:b/>
          <w:i/>
          <w:u w:val="single"/>
        </w:rPr>
        <w:t xml:space="preserve">(b)</w:t>
      </w:r>
      <w:r>
        <w:t xml:space="preserve"> </w:t>
      </w:r>
      <w:r>
        <w:t xml:space="preserve">Deny, suspend, probate, or revoke a license or permit</w:t>
      </w:r>
      <w:r>
        <w:rPr>
          <w:b/>
          <w:i/>
          <w:u w:val="single"/>
        </w:rPr>
        <w:t xml:space="preserve">; or</w:t>
      </w:r>
      <w:r>
        <w:t>[</w:t>
      </w:r>
      <w:r>
        <w:rPr>
          <w:b/>
          <w:i/>
          <w:strike w:val="true"/>
          <w:u w:val="single"/>
        </w:rPr>
        <w:t xml:space="preserve">,</w:t>
      </w:r>
      <w:r>
        <w:rPr>
          <w:b/>
          <w:i/>
          <w:strike w:val="true"/>
        </w:rPr>
        <w:t xml:space="preserve"> or to</w:t>
      </w:r>
      <w:r>
        <w:t>]</w:t>
      </w:r>
    </w:p>
    <w:p>
      <w:pPr>
        <w:pStyle w:val="kar_paragraph"/>
      </w:pPr>
      <w:r>
        <w:rPr>
          <w:b/>
          <w:i/>
          <w:u w:val="single"/>
        </w:rPr>
        <w:t xml:space="preserve">(c)</w:t>
      </w:r>
      <w:r>
        <w:t xml:space="preserve"> </w:t>
      </w:r>
      <w:r>
        <w:t xml:space="preserve">Impose discipline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w:t>
      </w:r>
      <w:r>
        <w:rPr>
          <w:u w:val="single"/>
        </w:rPr>
        <w:t xml:space="preserve">March 2025,</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Kentucky Board of Cosmetology, 1049 US Hwy 127 S. Annex #2, Frankfort Kentucky 40601, Monday through Friday, 8 a.m. to 4:30 p.m. or on the board's Web site at </w:t>
      </w:r>
      <w:r>
        <w:rPr>
          <w:b/>
          <w:i/>
          <w:u w:val="single"/>
        </w:rPr>
        <w:t xml:space="preserve">https://secure.kentucky.gov/formservices/KBHC/ComplaintForm</w:t>
      </w:r>
      <w:r>
        <w:t>[</w:t>
      </w:r>
      <w:r>
        <w:rPr>
          <w:b/>
          <w:i/>
          <w:strike w:val="true"/>
          <w:u w:val="single"/>
        </w:rPr>
        <w:t xml:space="preserve">http://kbc.ky.gov</w:t>
      </w:r>
      <w:r>
        <w:t>]</w:t>
      </w:r>
      <w:r>
        <w:t xml:space="preserve">.</w:t>
      </w:r>
    </w:p>
    <w:p>
      <w:pPr>
        <w:pStyle w:val="kar_filed"/>
      </w:pPr>
      <w:r>
        <w:t xml:space="preserve">FILED WITH LRC: August 12, 2025</w:t>
      </w:r>
    </w:p>
    <w:p>
      <w:pPr>
        <w:pStyle w:val="kar_contact_person"/>
      </w:pPr>
      <w:r>
        <w:t xml:space="preserve">CONTACT PERSON: Joni Upchurch, Executive Director, 1049 US-HWY 127, Annex #2, Frankfort, Kentucky 40601, (502) 564-4262, email joni.upchurch@ky.gov.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b3b30dd7c3477a" /><Relationship Type="http://schemas.openxmlformats.org/officeDocument/2006/relationships/settings" Target="/word/settings.xml" Id="R6472340cd8d0432e" /></Relationships>
</file>