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d680b99fae406a" /></Relationships>
</file>

<file path=word/document.xml><?xml version="1.0" encoding="utf-8"?>
<w:document xmlns:w="http://schemas.openxmlformats.org/wordprocessingml/2006/main">
  <w:body>
    <w:p>
      <w:pPr>
        <w:pStyle w:val="kar_citation"/>
      </w:pPr>
      <w:r>
        <w:t>103 KAR 2:005.</w:t>
      </w:r>
      <w:r>
        <w:t xml:space="preserve"> </w:t>
      </w:r>
      <w:r>
        <w:t xml:space="preserve">Life Mortality Table.</w:t>
      </w:r>
    </w:p>
    <w:p>
      <w:pPr>
        <w:pStyle w:val="kar_markup_metadata"/>
      </w:pPr>
      <w:r>
        <w:t xml:space="preserve">RELATES TO: </w:t>
      </w:r>
      <w:r>
        <w:t xml:space="preserve">KRS 140.100</w:t>
      </w:r>
    </w:p>
    <w:p>
      <w:pPr>
        <w:pStyle w:val="kar_markup_metadata"/>
      </w:pPr>
      <w:r>
        <w:t xml:space="preserve">STATUTORY AUTHORITY: </w:t>
      </w:r>
      <w:r>
        <w:t xml:space="preserve">KRS 131.130, 140.100(2)</w:t>
      </w:r>
    </w:p>
    <w:p>
      <w:pPr>
        <w:pStyle w:val="kar_markup_metadata"/>
      </w:pPr>
      <w:r>
        <w:t xml:space="preserve">CERTIFICATION STATEMENT: </w:t>
      </w:r>
      <w:r>
        <w:t xml:space="preserve"> </w:t>
      </w:r>
    </w:p>
    <w:p>
      <w:pPr>
        <w:pStyle w:val="kar_markup_metadata"/>
      </w:pPr>
      <w:r>
        <w:t xml:space="preserve">NECESSITY, FUNCTION, AND CONFORMITY: </w:t>
      </w:r>
      <w:r>
        <w:t xml:space="preserve">KRS 131.130(1) authorizes the Department of Revenue to promulgate administrative regulations for the administration and enforcement of all tax laws of this state. KRS 140.100(2) requires the application of the appropriate United States life mortality tables when ascertaining the value of future, contingent, or limited estates, which includes life estates and annuities. This administrative regulation establishes the appropriate United States life mortality table as required by KRS 140.100(2).</w:t>
      </w:r>
    </w:p>
    <w:p>
      <w:pPr>
        <w:pStyle w:val="kar_section"/>
      </w:pPr>
      <w:r>
        <w:t xml:space="preserve">Section 1.</w:t>
      </w:r>
      <w:r>
        <w:t xml:space="preserve"> </w:t>
      </w:r>
      <w:r>
        <w:t xml:space="preserve">Table 1, Life Table for the Total Population: United States, published by the United States Department of Health and Human Services, National Center for Health Statistics, and made available at revenue.ky.gov under the Inheritance Tax tab, shall be utilized when computing the value of a beneficiary's life estate, annuity, remainder interest, or any other interest in the estate that is based on the life expectancy of the beneficiary or some other person. Table 1, Life Table for the Total Population: United States, prescribed and published by National Center for Health Statistics as of January 1 of the year of the decedent's death shall be used.</w:t>
      </w:r>
    </w:p>
    <w:p>
      <w:pPr>
        <w:pStyle w:val="kar_history"/>
      </w:pPr>
      <w:r>
        <w:t xml:space="preserve">(103 KAR 002:005. 16 Ky.R. 2614; eff. 7-12-90; Recodified from 103 KAR 7:025, 10-12-2006; 40 Ky.R. 355; 782; eff. 11-1-2013; 46 Ky.R. 2104, 2601; eff. 6-30-2020; 52 Ky.R. 195, 703; eff. 2-3-2026.)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9178654f044265" /><Relationship Type="http://schemas.openxmlformats.org/officeDocument/2006/relationships/settings" Target="/word/settings.xml" Id="Rb1a57b19c01a4046" /></Relationships>
</file>