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67b06a7cf64c8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w:t>
      </w:r>
      <w:r>
        <w:t>[</w:t>
      </w:r>
      <w:r>
        <w:rPr>
          <w:b/>
          <w:i/>
          <w:strike w:val="true"/>
          <w:u w:val="single"/>
        </w:rPr>
        <w:t xml:space="preserve">"</w:t>
      </w:r>
      <w:r>
        <w:t>]</w:t>
      </w:r>
      <w:r>
        <w:t xml:space="preserve">physical therapy</w:t>
      </w:r>
      <w:r>
        <w:t>[</w:t>
      </w:r>
      <w:r>
        <w:rPr>
          <w:b/>
          <w:i/>
          <w:strike w:val="true"/>
          <w:u w:val="single"/>
        </w:rPr>
        <w:t xml:space="preserve">"</w:t>
      </w:r>
      <w:r>
        <w:t>]</w:t>
      </w:r>
      <w:r>
        <w:t xml:space="preserve">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w:t>
      </w:r>
      <w:r>
        <w:rPr>
          <w:b/>
          <w:i/>
          <w:u w:val="single"/>
        </w:rPr>
        <w:t xml:space="preserve">a board-provided</w:t>
      </w:r>
      <w:r>
        <w:t>[</w:t>
      </w:r>
      <w:r>
        <w:rPr>
          <w:b/>
          <w:i/>
          <w:strike w:val="true"/>
          <w:u w:val="single"/>
        </w:rPr>
        <w:t xml:space="preserve">an</w:t>
      </w:r>
      <w:r>
        <w:t>]</w:t>
      </w:r>
      <w:r>
        <w:t>[</w:t>
      </w:r>
      <w:r>
        <w:rPr>
          <w:strike w:val="true"/>
        </w:rPr>
        <w:t xml:space="preserve">a board-provided</w:t>
      </w:r>
      <w:r>
        <w:t>]</w:t>
      </w:r>
      <w:r>
        <w:t xml:space="preserve"> open book tutorial </w:t>
      </w:r>
      <w:r>
        <w:t>[</w:t>
      </w:r>
      <w:r>
        <w:rPr>
          <w:b/>
          <w:i/>
          <w:strike w:val="true"/>
          <w:u w:val="single"/>
        </w:rPr>
        <w:t xml:space="preserve">provided by the board</w:t>
      </w:r>
      <w:r>
        <w:t>]</w:t>
      </w:r>
      <w:r>
        <w:t xml:space="preserve"> 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rPr>
          <w:u w:val="single"/>
        </w:rPr>
        <w:t xml:space="preserve">Hours may be earned from Category 2</w:t>
      </w:r>
      <w:r>
        <w:rPr>
          <w:b/>
          <w:i/>
          <w:u w:val="single"/>
        </w:rPr>
        <w:t xml:space="preserve"> and</w:t>
      </w:r>
      <w:r>
        <w:t>[</w:t>
      </w:r>
      <w:r>
        <w:rPr>
          <w:b/>
          <w:i/>
          <w:strike w:val="true"/>
          <w:u w:val="single"/>
        </w:rPr>
        <w:t xml:space="preserve">. If hours are earned from Category 2, hours</w:t>
      </w:r>
      <w:r>
        <w:t>]</w:t>
      </w:r>
      <w:r>
        <w:rPr>
          <w:u w:val="single"/>
        </w:rPr>
        <w:t xml:space="preserve"> shall be as established in subsection (3) of this section. Hours earned from Category 2 over ten (10) hours shall not be awarded.</w:t>
      </w:r>
      <w:r>
        <w:t>[</w:t>
      </w:r>
      <w:r>
        <w:rPr>
          <w:strike w:val="true"/>
        </w:rPr>
        <w:t xml:space="preserve">Hours may be earned from Category 2 and shall be as established in subsection (3) of this section. Hours earned from Category 2 over ten (10) hours shall not be awarded.</w:t>
      </w:r>
      <w:r>
        <w:t>]</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include: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w:t>
      </w:r>
      <w:r>
        <w:t>[</w:t>
      </w:r>
      <w:r>
        <w:rPr>
          <w:b/>
          <w:i/>
          <w:strike w:val="true"/>
        </w:rPr>
        <w:t xml:space="preserve">American Physical Therapy Association (</w:t>
      </w:r>
      <w:r>
        <w:t>]</w:t>
      </w:r>
      <w:r>
        <w:t xml:space="preserve">APTA</w:t>
      </w:r>
      <w:r>
        <w:t>[</w:t>
      </w:r>
      <w:r>
        <w:rPr>
          <w:b/>
          <w:i/>
          <w:strike w:val="true"/>
        </w:rPr>
        <w:t xml:space="preserve">)</w:t>
      </w:r>
      <w:r>
        <w:t>]</w:t>
      </w:r>
      <w:r>
        <w:t xml:space="preserve">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w:t>
      </w:r>
      <w:r>
        <w:rPr>
          <w:b/>
          <w:i/>
          <w:u w:val="single"/>
        </w:rPr>
        <w:t xml:space="preserve">which shall be awarded as:</w:t>
      </w:r>
      <w:r>
        <w:t>[</w:t>
      </w:r>
      <w:r>
        <w:rPr>
          <w:b/>
          <w:i/>
          <w:strike w:val="true"/>
        </w:rPr>
        <w:t xml:space="preserve">as defined by Section 1(2) of this administrative regulation</w:t>
      </w:r>
      <w:r>
        <w:rPr>
          <w:b/>
          <w:i/>
          <w:strike w:val="true"/>
          <w:u w:val="single"/>
        </w:rPr>
        <w:t xml:space="preserve">.</w:t>
      </w:r>
      <w:r>
        <w:t>]</w:t>
      </w:r>
      <w:r>
        <w:t>[</w:t>
      </w:r>
      <w:r>
        <w:rPr>
          <w:strike w:val="true"/>
        </w:rPr>
        <w:t xml:space="preserve">, which shall be awarded as:</w:t>
      </w:r>
      <w:r>
        <w:t>]</w:t>
      </w:r>
    </w:p>
    <w:p>
      <w:pPr>
        <w:pStyle w:val="kar_subparagraph"/>
      </w:pPr>
      <w:r>
        <w:t xml:space="preserve">1.</w:t>
      </w:r>
      <w:r>
        <w:t xml:space="preserve"> </w:t>
      </w:r>
      <w:r>
        <w:t xml:space="preserve">Twelve (12) contact hours</w:t>
      </w:r>
      <w:r>
        <w:t>[</w:t>
      </w:r>
      <w:r>
        <w:rPr>
          <w:b/>
          <w:i/>
          <w:strike w:val="true"/>
          <w:u w:val="single"/>
        </w:rPr>
        <w:t xml:space="preserve"> shall be awarded</w:t>
      </w:r>
      <w:r>
        <w:t>]</w:t>
      </w:r>
      <w:r>
        <w:t xml:space="preserve"> for each semester credit hour completed; and</w:t>
      </w:r>
    </w:p>
    <w:p>
      <w:pPr>
        <w:pStyle w:val="kar_subparagraph"/>
      </w:pPr>
      <w:r>
        <w:t xml:space="preserve">2.</w:t>
      </w:r>
      <w:r>
        <w:t xml:space="preserve"> </w:t>
      </w:r>
      <w:r>
        <w:t xml:space="preserve">Eight (8) contact hours</w:t>
      </w:r>
      <w:r>
        <w:t>[</w:t>
      </w:r>
      <w:r>
        <w:rPr>
          <w:b/>
          <w:i/>
          <w:strike w:val="true"/>
          <w:u w:val="single"/>
        </w:rPr>
        <w:t xml:space="preserve"> shall be awarded</w:t>
      </w:r>
      <w:r>
        <w:t>]</w:t>
      </w:r>
      <w:r>
        <w:t xml:space="preserve">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w:t>
      </w:r>
      <w:r>
        <w:t>[</w:t>
      </w:r>
      <w:r>
        <w:rPr>
          <w:b/>
          <w:i/>
          <w:strike w:val="true"/>
          <w:u w:val="single"/>
        </w:rPr>
        <w:t xml:space="preserve">"</w:t>
      </w:r>
      <w:r>
        <w:t>]</w:t>
      </w:r>
      <w:r>
        <w:t xml:space="preserve">physical therapy</w:t>
      </w:r>
      <w:r>
        <w:t>[</w:t>
      </w:r>
      <w:r>
        <w:rPr>
          <w:b/>
          <w:i/>
          <w:strike w:val="true"/>
          <w:u w:val="single"/>
        </w:rPr>
        <w:t xml:space="preserve">"</w:t>
      </w:r>
      <w:r>
        <w:t>]</w:t>
      </w:r>
      <w:r>
        <w:t xml:space="preserve">,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r>
        <w:t>[</w:t>
      </w:r>
      <w:r>
        <w:rPr>
          <w:b/>
          <w:i/>
          <w:strike w:val="true"/>
          <w:u w:val="single"/>
        </w:rPr>
        <w:t xml:space="preserve"> or</w:t>
      </w:r>
      <w:r>
        <w:t>]</w:t>
      </w:r>
    </w:p>
    <w:p>
      <w:pPr>
        <w:pStyle w:val="kar_paragraph"/>
      </w:pPr>
      <w:r>
        <w:t xml:space="preserve">(o)</w:t>
      </w:r>
      <w:r>
        <w:t xml:space="preserve"> </w:t>
      </w:r>
      <w:r>
        <w:rPr>
          <w:b/>
          <w:i/>
          <w:u w:val="single"/>
        </w:rPr>
        <w:t xml:space="preserve">Being a </w:t>
      </w:r>
      <w:r>
        <w:rPr>
          <w:u w:val="single"/>
        </w:rPr>
        <w:t xml:space="preserve">member</w:t>
      </w:r>
      <w:r>
        <w:t>[</w:t>
      </w:r>
      <w:r>
        <w:rPr>
          <w:strike w:val="true"/>
        </w:rPr>
        <w:t xml:space="preserve">Being a member</w:t>
      </w:r>
      <w:r>
        <w:t>]</w:t>
      </w:r>
      <w:r>
        <w:t xml:space="preserve"> of a committee or task force for one (1) of the organizations in paragraph (m) or (n) of this subsection. One (1) contact hour shall be awarded per biennium</w:t>
      </w:r>
      <w:r>
        <w:rPr>
          <w:b/>
          <w:i/>
          <w:u w:val="single"/>
        </w:rPr>
        <w:t xml:space="preserve">;</w:t>
      </w:r>
      <w:r>
        <w:t>[</w:t>
      </w:r>
      <w:r>
        <w:rPr>
          <w:b/>
          <w:i/>
          <w:strike w:val="true"/>
          <w:u w:val="single"/>
        </w:rPr>
        <w:t xml:space="preserve">.</w:t>
      </w:r>
      <w:r>
        <w:t>]</w:t>
      </w:r>
      <w:r>
        <w:t>[</w:t>
      </w:r>
      <w:r>
        <w:rPr>
          <w:strike w:val="true"/>
        </w:rPr>
        <w:t xml:space="preserve">;</w:t>
      </w:r>
      <w:r>
        <w:t>]</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w:t>
      </w:r>
      <w:r>
        <w:t>[</w:t>
      </w:r>
      <w:r>
        <w:rPr>
          <w:strike w:val="true"/>
        </w:rPr>
        <w:t xml:space="preserve"> or</w:t>
      </w:r>
      <w:r>
        <w:t>]</w:t>
      </w:r>
    </w:p>
    <w:p>
      <w:pPr>
        <w:pStyle w:val="kar_paragraph"/>
      </w:pPr>
      <w:r>
        <w:t xml:space="preserve">(q)</w:t>
      </w:r>
      <w:r>
        <w:t xml:space="preserve"> </w:t>
      </w:r>
      <w:r>
        <w:rPr>
          <w:b/>
          <w:i/>
          <w:u w:val="single"/>
        </w:rPr>
        <w:t xml:space="preserve">Being a </w:t>
      </w:r>
      <w:r>
        <w:rPr>
          <w:u w:val="single"/>
        </w:rPr>
        <w:t xml:space="preserve">member</w:t>
      </w:r>
      <w:r>
        <w:t>[</w:t>
      </w:r>
      <w:r>
        <w:rPr>
          <w:strike w:val="true"/>
        </w:rPr>
        <w:t xml:space="preserve">Being a member</w:t>
      </w:r>
      <w:r>
        <w:t>]</w:t>
      </w:r>
      <w:r>
        <w:t xml:space="preserve"> of the APTA. One (1) contact hour shall be awarded per year and a maximum of two (2) contact hours per biennium</w:t>
      </w:r>
      <w:r>
        <w:rPr>
          <w:u w:val="single"/>
        </w:rPr>
        <w:t xml:space="preserve">; or</w:t>
      </w:r>
    </w:p>
    <w:p>
      <w:pPr>
        <w:pStyle w:val="kar_paragraph"/>
      </w:pPr>
      <w:r>
        <w:rPr>
          <w:u w:val="single"/>
        </w:rPr>
        <w:t xml:space="preserve">(r)</w:t>
      </w:r>
      <w:r>
        <w:t xml:space="preserve"> </w:t>
      </w:r>
      <w:r>
        <w:rPr>
          <w:u w:val="single"/>
        </w:rPr>
        <w:t xml:space="preserve">Completion of the Healthcare Regulatory Research Institutes (HRRI) Healthy Practice Resource (HPR) modules. A maximum of six (6) contact hours shall be awarded in the biennium</w:t>
      </w:r>
      <w:r>
        <w:t xml:space="preserve">.</w:t>
      </w:r>
    </w:p>
    <w:p>
      <w:pPr>
        <w:pStyle w:val="kar_subsection"/>
      </w:pPr>
      <w:r>
        <w:t xml:space="preserve">(3)</w:t>
      </w:r>
      <w:r>
        <w:t xml:space="preserve"> </w:t>
      </w:r>
      <w:r>
        <w:t xml:space="preserve">Category 2 continued competency shall </w:t>
      </w:r>
      <w:r>
        <w:rPr>
          <w:b/>
          <w:i/>
          <w:u w:val="single"/>
        </w:rPr>
        <w:t xml:space="preserve">include</w:t>
      </w:r>
      <w:r>
        <w:t>[</w:t>
      </w:r>
      <w:r>
        <w:rPr>
          <w:b/>
          <w:i/>
          <w:strike w:val="true"/>
          <w:u w:val="single"/>
        </w:rPr>
        <w:t xml:space="preserve">be</w:t>
      </w:r>
      <w:r>
        <w:t>]</w:t>
      </w:r>
      <w:r>
        <w:t>[</w:t>
      </w:r>
      <w:r>
        <w:rPr>
          <w:strike w:val="true"/>
        </w:rPr>
        <w:t xml:space="preserve">include</w:t>
      </w:r>
      <w:r>
        <w:t>]</w:t>
      </w:r>
      <w:r>
        <w:t xml:space="preserv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w:t>
      </w:r>
      <w:r>
        <w:rPr>
          <w:b/>
          <w:i/>
          <w:u w:val="single"/>
        </w:rPr>
        <w:t xml:space="preserve">as </w:t>
      </w:r>
      <w:r>
        <w:t xml:space="preserve">approved in Section 2(2)</w:t>
      </w:r>
      <w:r>
        <w:rPr>
          <w:b/>
          <w:i/>
          <w:u w:val="single"/>
        </w:rPr>
        <w:t xml:space="preserve"> of this administrative regulation</w:t>
      </w:r>
      <w:r>
        <w:t xml:space="preserve"> or other unapproved applicable courses. One (1) contact hour for each hour of credit shall be awarded up to a maximum of three (3) hours per course</w:t>
      </w:r>
      <w:r>
        <w:rPr>
          <w:u w:val="single"/>
        </w:rPr>
        <w:t xml:space="preserve">;</w:t>
      </w:r>
      <w:r>
        <w:t>[</w:t>
      </w:r>
      <w:r>
        <w:rPr>
          <w:strike w:val="true"/>
        </w:rPr>
        <w:t xml:space="preserve">.</w:t>
      </w:r>
      <w:r>
        <w:t>]</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w:t>
      </w:r>
      <w:r>
        <w:rPr>
          <w:b/>
          <w:i/>
          <w:u w:val="single"/>
        </w:rPr>
        <w:t xml:space="preserve"> or</w:t>
      </w:r>
      <w:r>
        <w:t>[</w:t>
      </w:r>
      <w:r>
        <w:rPr>
          <w:strike w:val="true"/>
        </w:rPr>
        <w:t xml:space="preserve"> or</w:t>
      </w:r>
      <w:r>
        <w:t>]</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w:t>
      </w:r>
      <w:r>
        <w:rPr>
          <w:b/>
          <w:i/>
          <w:u w:val="single"/>
        </w:rPr>
        <w:t xml:space="preserve">.</w:t>
      </w:r>
      <w:r>
        <w:t>[</w:t>
      </w:r>
      <w:r>
        <w:rPr>
          <w:b/>
          <w:i/>
          <w:strike w:val="true"/>
          <w:u w:val="single"/>
        </w:rPr>
        <w:t xml:space="preserve">; or</w:t>
      </w:r>
      <w:r>
        <w:t>]</w:t>
      </w:r>
      <w:r>
        <w:t>[</w:t>
      </w:r>
      <w:r>
        <w:rPr>
          <w:strike w:val="true"/>
        </w:rPr>
        <w:t xml:space="preserve">.</w:t>
      </w:r>
      <w:r>
        <w:t>]</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w:t>
      </w:r>
      <w:r>
        <w:rPr>
          <w:b/>
          <w:i/>
          <w:u w:val="single"/>
        </w:rPr>
        <w:t xml:space="preserve">shall</w:t>
      </w:r>
      <w:r>
        <w:t>[</w:t>
      </w:r>
      <w:r>
        <w:rPr>
          <w:b/>
          <w:i/>
          <w:strike w:val="true"/>
          <w:u w:val="single"/>
        </w:rPr>
        <w:t xml:space="preserve">must</w:t>
      </w:r>
      <w:r>
        <w:t>]</w:t>
      </w:r>
      <w:r>
        <w:t>[</w:t>
      </w:r>
      <w:r>
        <w:rPr>
          <w:strike w:val="true"/>
        </w:rPr>
        <w:t xml:space="preserve">shall</w:t>
      </w:r>
      <w:r>
        <w:t>]</w:t>
      </w:r>
      <w:r>
        <w:t xml:space="preserve">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w:t>
      </w:r>
      <w:r>
        <w:rPr>
          <w:b/>
          <w:i/>
          <w:u w:val="single"/>
        </w:rPr>
        <w:t xml:space="preserve">shall</w:t>
      </w:r>
      <w:r>
        <w:t>[</w:t>
      </w:r>
      <w:r>
        <w:rPr>
          <w:b/>
          <w:i/>
          <w:strike w:val="true"/>
          <w:u w:val="single"/>
        </w:rPr>
        <w:t xml:space="preserve">must</w:t>
      </w:r>
      <w:r>
        <w:t>]</w:t>
      </w:r>
      <w:r>
        <w:t>[</w:t>
      </w:r>
      <w:r>
        <w:rPr>
          <w:strike w:val="true"/>
        </w:rPr>
        <w:t xml:space="preserve">shall</w:t>
      </w:r>
      <w:r>
        <w:t>]</w:t>
      </w:r>
      <w:r>
        <w:t xml:space="preserve"> include a description on how the required credits will be met;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w:t>
      </w:r>
      <w:r>
        <w:rPr>
          <w:b/>
          <w:i/>
          <w:u w:val="single"/>
        </w:rPr>
        <w:t xml:space="preserve">June 2023</w:t>
      </w:r>
      <w:r>
        <w:t>[</w:t>
      </w:r>
      <w:r>
        <w:rPr>
          <w:b/>
          <w:i/>
          <w:strike w:val="true"/>
          <w:u w:val="single"/>
        </w:rPr>
        <w:t xml:space="preserve">June 2012</w:t>
      </w:r>
      <w:r>
        <w:t>]</w:t>
      </w:r>
      <w:r>
        <w:t>[</w:t>
      </w:r>
      <w:r>
        <w:rPr>
          <w:strike w:val="true"/>
        </w:rPr>
        <w:t xml:space="preserve">July 2023</w:t>
      </w:r>
      <w:r>
        <w:t>]</w:t>
      </w:r>
      <w:r>
        <w:t xml:space="preserve">,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r>
        <w:rPr>
          <w:b/>
          <w:i/>
          <w:u w:val="single"/>
        </w:rPr>
        <w:t xml:space="preserve"> This material is also available on the agency's website at: https://pt.ky.gov/education/Pages/Continued-Competency-.aspx.</w:t>
      </w:r>
    </w:p>
    <w:p>
      <w:pPr>
        <w:pStyle w:val="kar_contact_person"/>
      </w:pPr>
      <w:r>
        <w:t xml:space="preserve">CONTACT PERSON: Stephen Curley, Executive Director, Board of Physical Therapy, 312 Whittington Parkway, Suite 102, Louisville, Kentucky 40222, phone (502) 429-7140; fax (502) 429-7142, email Stephen.Curley@ky.gov.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e972cc71404bad" /><Relationship Type="http://schemas.openxmlformats.org/officeDocument/2006/relationships/settings" Target="/word/settings.xml" Id="R941247ba08014b51" /></Relationships>
</file>