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3655579754d57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7:070.</w:t>
      </w:r>
      <w:r>
        <w:t xml:space="preserve"> </w:t>
      </w:r>
      <w:r>
        <w:t xml:space="preserve">License renewal.</w:t>
      </w:r>
    </w:p>
    <w:p>
      <w:pPr>
        <w:pStyle w:val="kar_normal"/>
      </w:pPr>
      <w:r>
        <w:t xml:space="preserve">RELATES TO: </w:t>
      </w:r>
      <w:r>
        <w:t xml:space="preserve">KRS 334.110</w:t>
      </w:r>
    </w:p>
    <w:p>
      <w:pPr>
        <w:pStyle w:val="kar_normal"/>
      </w:pPr>
      <w:r>
        <w:t xml:space="preserve">STATUTORY AUTHORITY: </w:t>
      </w:r>
      <w:r>
        <w:t xml:space="preserve">KRS 334.150</w:t>
      </w:r>
    </w:p>
    <w:p>
      <w:pPr>
        <w:pStyle w:val="kar_normal"/>
      </w:pPr>
      <w:r>
        <w:t xml:space="preserve">NECESSITY, FUNCTION, AND CONFORMITY: </w:t>
      </w:r>
      <w:r>
        <w:t xml:space="preserve">To enumerate certain requirements for renewals.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Responsibility for filing for renewal of licenses or apprentice permits and for paying fees shall rest with the individual holder. The board shall not be responsible for sending a letter of reminder.</w:t>
      </w:r>
    </w:p>
    <w:p>
      <w:pPr>
        <w:pStyle w:val="kar_section"/>
      </w:pPr>
      <w:r>
        <w:t xml:space="preserve">Section 2.</w:t>
      </w:r>
      <w:r>
        <w:t xml:space="preserve"> </w:t>
      </w:r>
      <w:r>
        <w:t xml:space="preserve">To renew a license, the holder shall send to the board with the renewal application the following: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A copy of a certificate of calibration for the holder's audiometric testing equipment, completed within the twelve (12) months immediately preceding the date of the renewal application; and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Satisfactory evidence of continuing education as required by 201 KAR 7:075.</w:t>
      </w:r>
    </w:p>
    <w:p>
      <w:pPr>
        <w:pStyle w:val="kar_history"/>
      </w:pPr>
      <w:r>
        <w:t xml:space="preserve">(4 Ky.R. 91; eff. 10-5-77; Am. 5 Ky.R. 542; eff. 3-7-79; 20 Ky.R. 1646; 2320; eff. 2-10-94; Crt eff. 2-21-2020.)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422b1d31c48dd" /><Relationship Type="http://schemas.openxmlformats.org/officeDocument/2006/relationships/settings" Target="/word/settings.xml" Id="R25cc2f9876d946a8" /></Relationships>
</file>