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3520deee49450a" /></Relationships>
</file>

<file path=word/document.xml><?xml version="1.0" encoding="utf-8"?>
<w:document xmlns:w="http://schemas.openxmlformats.org/wordprocessingml/2006/main">
  <w:body>
    <w:p>
      <w:pPr>
        <w:pStyle w:val="kar_citation"/>
      </w:pPr>
      <w:r>
        <w:t>201 KAR 12:082.</w:t>
      </w:r>
      <w:r>
        <w:t xml:space="preserve"> </w:t>
      </w:r>
      <w:r>
        <w:t xml:space="preserve">Education requirements and school administration.</w:t>
      </w:r>
    </w:p>
    <w:p>
      <w:pPr>
        <w:pStyle w:val="kar_normal"/>
      </w:pPr>
      <w:r>
        <w:t xml:space="preserve">RELATES TO: </w:t>
      </w:r>
      <w:r>
        <w:t xml:space="preserve">KRS 317A.020, 317A.050, 317A.090</w:t>
      </w:r>
    </w:p>
    <w:p>
      <w:pPr>
        <w:pStyle w:val="kar_normal"/>
      </w:pPr>
      <w:r>
        <w:t xml:space="preserve">STATUTORY AUTHORITY: </w:t>
      </w:r>
      <w:r>
        <w:t xml:space="preserve">KRS 317A.060, 317A.090</w:t>
      </w:r>
    </w:p>
    <w:p>
      <w:pPr>
        <w:pStyle w:val="kar_normal"/>
      </w:pPr>
      <w:r>
        <w:t xml:space="preserve">NECESSITY, FUNCTION, AND CONFORMITY: </w:t>
      </w:r>
      <w:r>
        <w:t xml:space="preserve">KRS 317A.060(1)(h) requires the board to promulgate administrative regulations governing the hours and courses of instruction at schools of cosmetology, esthetic practices, and nail technology.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and</w:t>
      </w:r>
    </w:p>
    <w:p>
      <w:pPr>
        <w:pStyle w:val="kar_paragraph"/>
      </w:pPr>
      <w:r>
        <w:t xml:space="preserve">(c)</w:t>
      </w:r>
      <w:r>
        <w:t xml:space="preserve"> </w:t>
      </w:r>
      <w:r>
        <w:t xml:space="preserve">Facial Makeup.</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of cosmetology, esthetic practices, and nail technology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ten (10)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of cosmetology, esthetic practices, and nail technology,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Message;</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and</w:t>
      </w:r>
    </w:p>
    <w:p>
      <w:pPr>
        <w:pStyle w:val="kar_paragraph"/>
      </w:pPr>
      <w:r>
        <w:t xml:space="preserve">(g)</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 and scalp;</w:t>
      </w:r>
    </w:p>
    <w:p>
      <w:pPr>
        <w:pStyle w:val="kar_paragraph"/>
      </w:pPr>
      <w:r>
        <w:t xml:space="preserve">(c)</w:t>
      </w:r>
      <w:r>
        <w:t xml:space="preserve"> </w:t>
      </w:r>
      <w:r>
        <w:t xml:space="preserve">Skin Disorders and Diseases of head, neck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legible and accurate daily attendance record used only for the verification and tracking of the required contact hours for education for all full-time students, part-time students, and apprentice instructors with records that shall be recorded using a digital biometric time keeping program as follows:</w:t>
      </w:r>
    </w:p>
    <w:p>
      <w:pPr>
        <w:pStyle w:val="kar_paragraph"/>
      </w:pPr>
      <w:r>
        <w:t xml:space="preserve">(a)</w:t>
      </w:r>
      <w:r>
        <w:t xml:space="preserve"> </w:t>
      </w:r>
      <w:r>
        <w:t xml:space="preserve">All beginning, end, break, and lunch times shall be recorded;</w:t>
      </w:r>
    </w:p>
    <w:p>
      <w:pPr>
        <w:pStyle w:val="kar_paragraph"/>
      </w:pPr>
      <w:r>
        <w:t xml:space="preserve">(b)</w:t>
      </w:r>
      <w:r>
        <w:t xml:space="preserve"> </w:t>
      </w:r>
      <w:r>
        <w:t xml:space="preserve">All instructors shall comply with the biometric time keeping system; and</w:t>
      </w:r>
    </w:p>
    <w:p>
      <w:pPr>
        <w:pStyle w:val="kar_paragraph"/>
      </w:pPr>
      <w:r>
        <w:t xml:space="preserve">(c)</w:t>
      </w:r>
      <w:r>
        <w:t xml:space="preserve"> </w:t>
      </w:r>
      <w:r>
        <w:t xml:space="preserve">Previously licensed schools will have six (6) months from the effective date of this administrative regulation to comply.</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cosmetology, nail technology, or esthetic practices school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of cosmetology, esthetic practices, and nail technology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of cosmetology, esthetic practices, and nail technology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for a cosmetology, nail technician, or esthetics course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Hour Transfer Request Form. Upon receiving a completed Program Hour Transfer Request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t xml:space="preserve">Section 33.</w:t>
      </w:r>
      <w:r>
        <w:t xml:space="preserve"> </w:t>
      </w:r>
      <w:r>
        <w:t xml:space="preserve">Incorporation by Reference. The following material is incorporated by reference:</w:t>
      </w:r>
    </w:p>
    <w:p>
      <w:pPr>
        <w:pStyle w:val="kar_subsection"/>
      </w:pPr>
      <w:r>
        <w:t xml:space="preserve">(1)</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Hour Transfer Request Form", April 2020.</w:t>
      </w:r>
    </w:p>
    <w:p>
      <w:pPr>
        <w:pStyle w:val="kar_subsection"/>
      </w:pPr>
      <w:r>
        <w:t xml:space="preserve">(2)</w:t>
      </w:r>
      <w:r>
        <w:t xml:space="preserve"> </w:t>
      </w:r>
      <w:r>
        <w:t xml:space="preserve">This material may be inspected, copied, or obtained, subject to applicable copyright law, at the Kentucky Board of Cosmetology, 111 St. James Court, Suite A, Frankfort, Kentucky 40601, Monday through Friday, 8 a.m. to 4:30 p.m.</w:t>
      </w:r>
    </w:p>
    <w:p>
      <w:pPr>
        <w:pStyle w:val="kar_history"/>
      </w:pPr>
      <w:r>
        <w:t xml:space="preserve">(2 Ky.R. 182; eff. 11-12-1975; 3 Ky.R. 388; eff. 12-1-1976; 7 Ky.R. 483; 640; eff. 2-4-1981; 11 Ky.R. 1441; eff. 5-14-1985; 16 Ky.R. 1605; eff. 4-12-1990; 22 Ky.R. 613; 1452; eff. 1-25-1996; 23 Ky.R. 2195; 2969; eff. 3-14-1997; 30 Ky.R. 962; 1565; 1910; eff. 2-16-2004; 40 Ky.R. 374; 1027; eff. 12-6-2013; 44 Ky.R. 1113; 1502; eff. 2-2-2018; 44 Ky.R. 2364; 45 Ky.R. 17; eff. 8-6-2018; 45 Ky.R. 1727, 2335; eff. 3-8-2019; 46 Ky.R. 2303, 2888; eff. 7-30-2020; TAm eff. 3-24-2021.)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d208dea4e54bd2" /><Relationship Type="http://schemas.openxmlformats.org/officeDocument/2006/relationships/settings" Target="/word/settings.xml" Id="R8cf0838b406c4fe5" /></Relationships>
</file>