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e6abf2171d48f3" /></Relationships>
</file>

<file path=word/document.xml><?xml version="1.0" encoding="utf-8"?>
<w:document xmlns:w="http://schemas.openxmlformats.org/wordprocessingml/2006/main">
  <w:body>
    <w:p>
      <w:pPr>
        <w:pStyle w:val="kar_citation"/>
      </w:pPr>
      <w:r>
        <w:t>201 KAR 17:014.</w:t>
      </w:r>
      <w:r>
        <w:t xml:space="preserve"> </w:t>
      </w:r>
      <w:r>
        <w:t xml:space="preserve">Temporary licensure for speech-language pathologist, speech-language pathology assistant, and audiologist.</w:t>
      </w:r>
    </w:p>
    <w:p>
      <w:pPr>
        <w:pStyle w:val="kar_normal"/>
      </w:pPr>
      <w:r>
        <w:t xml:space="preserve">RELATES TO: </w:t>
      </w:r>
      <w:r>
        <w:t xml:space="preserve">KRS 334A.033, 334A.050, 334A.181, 334A.183, 334A.185</w:t>
      </w:r>
    </w:p>
    <w:p>
      <w:pPr>
        <w:pStyle w:val="kar_normal"/>
      </w:pPr>
      <w:r>
        <w:t xml:space="preserve">STATUTORY AUTHORITY: </w:t>
      </w:r>
      <w:r>
        <w:t xml:space="preserve">KRS 334A.080(3), 334.181(1)</w:t>
      </w:r>
    </w:p>
    <w:p>
      <w:pPr>
        <w:pStyle w:val="kar_normal"/>
      </w:pPr>
      <w:r>
        <w:t xml:space="preserve">CERTIFICATION STATEMENT: </w:t>
      </w:r>
    </w:p>
    <w:p>
      <w:pPr>
        <w:pStyle w:val="kar_normal"/>
      </w:pPr>
      <w:r>
        <w:t xml:space="preserve">NECESSITY, FUNCTION, AND CONFORMITY: </w:t>
      </w:r>
      <w:r>
        <w:t xml:space="preserve">KRS 334A.181 authorizes the board to provide temporary licensure by promulgating administrative regulations. This administrative regulation provides requirements for the issuance of temporary licenses.</w:t>
      </w:r>
    </w:p>
    <w:p>
      <w:pPr>
        <w:pStyle w:val="kar_section"/>
      </w:pPr>
      <w:r>
        <w:t xml:space="preserve">Section 1.</w:t>
      </w:r>
      <w:r>
        <w:t xml:space="preserve"> </w:t>
      </w:r>
      <w:r>
        <w:t xml:space="preserve">Definition. "Board administrator" means the Director of the Division of Occupations and Professions.</w:t>
      </w:r>
    </w:p>
    <w:p>
      <w:pPr>
        <w:pStyle w:val="kar_section"/>
      </w:pPr>
      <w:r>
        <w:t xml:space="preserve">Section 2.</w:t>
      </w:r>
      <w:r>
        <w:t xml:space="preserve"> </w:t>
      </w:r>
      <w:r>
        <w:t xml:space="preserve">Requirements.</w:t>
      </w:r>
    </w:p>
    <w:p>
      <w:pPr>
        <w:pStyle w:val="kar_subsection"/>
      </w:pPr>
      <w:r>
        <w:t xml:space="preserve">(1)</w:t>
      </w:r>
      <w:r>
        <w:t xml:space="preserve"> </w:t>
      </w:r>
      <w:r>
        <w:t xml:space="preserve">Upon receipt of application showing that applicant meets the requirements set forth in KRS 334A.033, 334A.050, 334A.183, 334A.185, and 201 KAR 17:012, the Board Administrator shall issue a temporary license to the applicant, by sending a letter to the applicant on Board letterhead.</w:t>
      </w:r>
    </w:p>
    <w:p>
      <w:pPr>
        <w:pStyle w:val="kar_subsection"/>
      </w:pPr>
      <w:r>
        <w:t xml:space="preserve">(2)</w:t>
      </w:r>
      <w:r>
        <w:t xml:space="preserve"> </w:t>
      </w:r>
      <w:r>
        <w:t xml:space="preserve">The temporary license shall entitle the applicant to practice as a speech-language pathologist, speech-language pathology assistant, or audiologist until the applicant is reviewed by the Kentucky Board of Speech Language Pathology and Audiology.</w:t>
      </w:r>
    </w:p>
    <w:p>
      <w:pPr>
        <w:pStyle w:val="kar_subsection"/>
      </w:pPr>
      <w:r>
        <w:t xml:space="preserve">(3)</w:t>
      </w:r>
      <w:r>
        <w:t xml:space="preserve"> </w:t>
      </w:r>
      <w:r>
        <w:t xml:space="preserve">A temporary license shall not be effective for more than 180 days as provided by KRS 334A.181(3).</w:t>
      </w:r>
    </w:p>
    <w:p>
      <w:pPr>
        <w:pStyle w:val="kar_section"/>
      </w:pPr>
      <w:r>
        <w:t xml:space="preserve">Section 3.</w:t>
      </w:r>
      <w:r>
        <w:t xml:space="preserve"> </w:t>
      </w:r>
      <w:r>
        <w:t xml:space="preserve">Unprofessional Conduct. If the application shows evidence of unprofessional conduct per KRS 334A.180(1) or (4), the applicant shall not be granted temporary licensure, and the application shall be held pending review by the board.</w:t>
      </w:r>
    </w:p>
    <w:p>
      <w:pPr>
        <w:pStyle w:val="kar_history"/>
      </w:pPr>
      <w:r>
        <w:t xml:space="preserve">(35 Ky.R. 1370; Am. 1730; eff. 2-6-09;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8b809e6f6c4936" /><Relationship Type="http://schemas.openxmlformats.org/officeDocument/2006/relationships/settings" Target="/word/settings.xml" Id="R61b3bd2a2124498c" /></Relationships>
</file>