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7626d762ff4e8d" /></Relationships>
</file>

<file path=word/document.xml><?xml version="1.0" encoding="utf-8"?>
<w:document xmlns:w="http://schemas.openxmlformats.org/wordprocessingml/2006/main">
  <w:body>
    <w:p>
      <w:pPr>
        <w:pStyle w:val="kar_citation"/>
      </w:pPr>
      <w:r>
        <w:t>201 KAR 17:070.</w:t>
      </w:r>
      <w:r>
        <w:t xml:space="preserve"> </w:t>
      </w:r>
      <w:r>
        <w:t xml:space="preserve">Complaint procedure.</w:t>
      </w:r>
    </w:p>
    <w:p>
      <w:pPr>
        <w:pStyle w:val="kar_markup_metadata"/>
      </w:pPr>
      <w:r>
        <w:t xml:space="preserve">RELATES TO: </w:t>
      </w:r>
      <w:r>
        <w:t xml:space="preserve">KRS 334A.080(1), 334A.180</w:t>
      </w:r>
    </w:p>
    <w:p>
      <w:pPr>
        <w:pStyle w:val="kar_markup_metadata"/>
      </w:pPr>
      <w:r>
        <w:t xml:space="preserve">STATUTORY AUTHORITY: </w:t>
      </w:r>
      <w:r>
        <w:t xml:space="preserve">KRS 334A.080(3)</w:t>
      </w:r>
    </w:p>
    <w:p>
      <w:pPr>
        <w:pStyle w:val="kar_markup_metadata"/>
      </w:pPr>
      <w:r>
        <w:t xml:space="preserve">CERTIFICATION STATEMENT: </w:t>
      </w:r>
    </w:p>
    <w:p>
      <w:pPr>
        <w:pStyle w:val="kar_markup_metadata"/>
      </w:pPr>
      <w:r>
        <w:t xml:space="preserve">NECESSITY, FUNCTION, AND CONFORMITY: </w:t>
      </w:r>
      <w:r>
        <w:t xml:space="preserve">KRS 334A.180 establishes the causes for which disciplinary action may be taken against a licensee. This administrative regulation establishes procedures for the filing, evaluation, and disposition of an administrative complaint.</w:t>
      </w:r>
    </w:p>
    <w:p>
      <w:pPr>
        <w:pStyle w:val="kar_section"/>
      </w:pPr>
      <w:r>
        <w:t xml:space="preserve">Section 1.</w:t>
      </w:r>
      <w:r>
        <w:t xml:space="preserve"> </w:t>
      </w:r>
      <w:r>
        <w:t xml:space="preserve">Definitions.</w:t>
      </w:r>
    </w:p>
    <w:p>
      <w:pPr>
        <w:pStyle w:val="kar_subsection"/>
      </w:pPr>
      <w:r>
        <w:t xml:space="preserve">(1)</w:t>
      </w:r>
      <w:r>
        <w:t xml:space="preserve"> </w:t>
      </w:r>
      <w:r>
        <w:t xml:space="preserve">"Chairman" means the chairman or vice-chairman of the board.</w:t>
      </w:r>
    </w:p>
    <w:p>
      <w:pPr>
        <w:pStyle w:val="kar_subsection"/>
      </w:pPr>
      <w:r>
        <w:t xml:space="preserve">(2)</w:t>
      </w:r>
      <w:r>
        <w:t xml:space="preserve"> </w:t>
      </w:r>
      <w:r>
        <w:t xml:space="preserve">"Charge" means a specific allegation contained in a formal complaint, as established in subsection (5) of this section, issued by the board alleging a violation of a specified provision of KRS Chapter 334A; the administrative regulations promulgated thereunder; or any other state or federal statute or regulation.</w:t>
      </w:r>
    </w:p>
    <w:p>
      <w:pPr>
        <w:pStyle w:val="kar_subsection"/>
      </w:pPr>
      <w:r>
        <w:t xml:space="preserve">(3)</w:t>
      </w:r>
      <w:r>
        <w:t xml:space="preserve"> </w:t>
      </w:r>
      <w:r>
        <w:t xml:space="preserve">"Complaint" means a written allegation of misconduct by a credentialed individual or other person which might constitute a violation of KRS Chapter 334A, the administrative regulations promulgated thereunder, or any other state or federal statute or regulation.</w:t>
      </w:r>
    </w:p>
    <w:p>
      <w:pPr>
        <w:pStyle w:val="kar_subsection"/>
      </w:pPr>
      <w:r>
        <w:t xml:space="preserve">(4)</w:t>
      </w:r>
      <w:r>
        <w:t xml:space="preserve"> </w:t>
      </w:r>
      <w:r>
        <w:t xml:space="preserve">"Complaint screening committee" means a committee consisting of three (3) persons appointed by the chairman of the board to review complaints, investigate reports, and to participate in informal proceedings to resolve a formal complaint, and may include the executive director of the board or another staff member.</w:t>
      </w:r>
    </w:p>
    <w:p>
      <w:pPr>
        <w:pStyle w:val="kar_subsection"/>
      </w:pPr>
      <w:r>
        <w:t xml:space="preserve">(5)</w:t>
      </w:r>
      <w:r>
        <w:t xml:space="preserve"> </w:t>
      </w:r>
      <w:r>
        <w:t xml:space="preserve">"Formal complaint" means a formal administrative pleading authorized by the board which sets forth charges against a licensed individual or other person and commences a formal disciplinary proceeding pursuant to KRS Chapter 13B or requests the court to take criminal or civil action.</w:t>
      </w:r>
    </w:p>
    <w:p>
      <w:pPr>
        <w:pStyle w:val="kar_subsection"/>
      </w:pPr>
      <w:r>
        <w:t xml:space="preserve">(6)</w:t>
      </w:r>
      <w:r>
        <w:t xml:space="preserve"> </w:t>
      </w:r>
      <w:r>
        <w:t xml:space="preserve">"Informal proceedings" means the proceedings instituted at a stage of the disciplinary process with the intent of reaching a dispensation of any matter without further recourse to formal disciplinary procedures under KRS Chapter 13B.</w:t>
      </w:r>
    </w:p>
    <w:p>
      <w:pPr>
        <w:pStyle w:val="kar_subsection"/>
      </w:pPr>
      <w:r>
        <w:t xml:space="preserve">(7)</w:t>
      </w:r>
      <w:r>
        <w:t xml:space="preserve"> </w:t>
      </w:r>
      <w:r>
        <w:t xml:space="preserve">"Investigator" means an individual designated by the board to assist the board in the investigation of a complaint or an investigator employed by the Attorney General or the board.</w:t>
      </w:r>
    </w:p>
    <w:p>
      <w:pPr>
        <w:pStyle w:val="kar_section"/>
      </w:pPr>
      <w:r>
        <w:t xml:space="preserve">Section 2.</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Signed by the person offering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 The individual shall be allowed a period of twenty (20) days from the date of receipt to submit a written response.</w:t>
      </w:r>
    </w:p>
    <w:p>
      <w:pPr>
        <w:pStyle w:val="kar_paragraph"/>
      </w:pPr>
      <w:r>
        <w:t xml:space="preserve">(b)</w:t>
      </w:r>
      <w:r>
        <w:t xml:space="preserve"> </w:t>
      </w:r>
      <w:r>
        <w:t xml:space="preserve">Upon receipt of his copy of the written response of the individual named in the complaint, a copy of his response shall be sent to the complainant. The complainant shall have seven (7) days from the receipt to submit a written reply to the response.</w:t>
      </w:r>
    </w:p>
    <w:p>
      <w:pPr>
        <w:pStyle w:val="kar_section"/>
      </w:pPr>
      <w:r>
        <w:t xml:space="preserve">Section 3.</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the complaint screening committee shall consider the individual's response, complainant's reply to the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the board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the board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4.</w:t>
      </w:r>
      <w:r>
        <w:t xml:space="preserve"> </w:t>
      </w:r>
      <w:r>
        <w:t xml:space="preserve">Results of Formal Investigation; Board Decision on Hearing.</w:t>
      </w:r>
    </w:p>
    <w:p>
      <w:pPr>
        <w:pStyle w:val="kar_subsection"/>
      </w:pPr>
      <w:r>
        <w:t xml:space="preserve">(1)</w:t>
      </w:r>
      <w:r>
        <w:t xml:space="preserve"> </w:t>
      </w:r>
    </w:p>
    <w:p>
      <w:pPr>
        <w:pStyle w:val="kar_paragraph"/>
      </w:pPr>
      <w:r>
        <w:t xml:space="preserve">(a)</w:t>
      </w:r>
      <w:r>
        <w:t xml:space="preserve"> </w:t>
      </w:r>
      <w:r>
        <w:t xml:space="preserve">Upon completion of the formal investigation, the investigator shall submit a report to the complaint screening committee of the facts regarding the complaint.</w:t>
      </w:r>
    </w:p>
    <w:p>
      <w:pPr>
        <w:pStyle w:val="kar_paragraph"/>
      </w:pPr>
      <w:r>
        <w:t xml:space="preserve">(b)</w:t>
      </w:r>
      <w:r>
        <w:t xml:space="preserve"> </w:t>
      </w:r>
      <w:r>
        <w:t xml:space="preserve">The committee shall review the investigative report and make a recommendation to the board.</w:t>
      </w:r>
    </w:p>
    <w:p>
      <w:pPr>
        <w:pStyle w:val="kar_paragraph"/>
      </w:pPr>
      <w:r>
        <w:t xml:space="preserve">(c)</w:t>
      </w:r>
      <w:r>
        <w:t xml:space="preserve"> </w:t>
      </w:r>
      <w:r>
        <w:t xml:space="preserve">The board shall determine whether:</w:t>
      </w:r>
    </w:p>
    <w:p>
      <w:pPr>
        <w:pStyle w:val="kar_subparagraph"/>
      </w:pPr>
      <w:r>
        <w:t xml:space="preserve">1.</w:t>
      </w:r>
      <w:r>
        <w:t xml:space="preserve"> </w:t>
      </w:r>
      <w:r>
        <w:t xml:space="preserve">There has been a prima facie violation of KRS Chapter 334A or the administrative regulations promulgated thereunder; and</w:t>
      </w:r>
    </w:p>
    <w:p>
      <w:pPr>
        <w:pStyle w:val="kar_subparagraph"/>
      </w:pPr>
      <w:r>
        <w:t xml:space="preserve">2.</w:t>
      </w:r>
      <w:r>
        <w:t xml:space="preserve"> </w:t>
      </w:r>
      <w:r>
        <w:t xml:space="preserve">A complaint shall be filed.</w:t>
      </w:r>
    </w:p>
    <w:p>
      <w:pPr>
        <w:pStyle w:val="kar_subsection"/>
      </w:pPr>
      <w:r>
        <w:t xml:space="preserve">(2)</w:t>
      </w:r>
      <w:r>
        <w:t xml:space="preserve"> </w:t>
      </w:r>
      <w:r>
        <w:t xml:space="preserve">If the board determines that a complaint does not warrant issuance of a formal complaint, the board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p>
    <w:p>
      <w:pPr>
        <w:pStyle w:val="kar_paragraph"/>
      </w:pPr>
      <w:r>
        <w:t xml:space="preserve">(a)</w:t>
      </w:r>
      <w:r>
        <w:t xml:space="preserve"> </w:t>
      </w:r>
      <w:r>
        <w:t xml:space="preserve">If the board determines that a violation has occurred but is not serious, the board may issue a written admonishment to the licensee.</w:t>
      </w:r>
    </w:p>
    <w:p>
      <w:pPr>
        <w:pStyle w:val="kar_paragraph"/>
      </w:pPr>
      <w:r>
        <w:t xml:space="preserve">(b)</w:t>
      </w:r>
      <w:r>
        <w:t xml:space="preserve"> </w:t>
      </w:r>
      <w:r>
        <w:t xml:space="preserve">A copy of the written admonishment shall be placed in the permanent file of the licensee.</w:t>
      </w:r>
    </w:p>
    <w:p>
      <w:pPr>
        <w:pStyle w:val="kar_paragraph"/>
      </w:pPr>
      <w:r>
        <w:t xml:space="preserve">(c)</w:t>
      </w:r>
      <w:r>
        <w:t xml:space="preserve"> </w:t>
      </w:r>
      <w:r>
        <w:t xml:space="preserve">The licensee shall have the right to:</w:t>
      </w:r>
    </w:p>
    <w:p>
      <w:pPr>
        <w:pStyle w:val="kar_subparagraph"/>
      </w:pPr>
      <w:r>
        <w:t xml:space="preserve">1.</w:t>
      </w:r>
      <w:r>
        <w:t xml:space="preserve"> </w:t>
      </w:r>
      <w:r>
        <w:t xml:space="preserve">File a response in writing to the admonishment within thirty (30) days of its receipt and have the response placed in his permanent file; or</w:t>
      </w:r>
    </w:p>
    <w:p>
      <w:pPr>
        <w:pStyle w:val="kar_subparagraph"/>
      </w:pPr>
      <w:r>
        <w:t xml:space="preserve">2.</w:t>
      </w:r>
      <w:r>
        <w:t xml:space="preserve"> </w:t>
      </w:r>
      <w:r>
        <w:t xml:space="preserve">File a request for a hearing with the board within thirty (30) days of the admonishment.</w:t>
      </w:r>
    </w:p>
    <w:p>
      <w:pPr>
        <w:pStyle w:val="kar_paragraph"/>
      </w:pPr>
      <w:r>
        <w:t xml:space="preserve">(d)</w:t>
      </w:r>
      <w:r>
        <w:t xml:space="preserve"> </w:t>
      </w:r>
      <w:r>
        <w:t xml:space="preserve">Upon receipt of the request, the board shall set aside the written admonishment and set the matter for hearing pursuant to the provisions of KRS Chapter 13B.</w:t>
      </w:r>
    </w:p>
    <w:p>
      <w:pPr>
        <w:pStyle w:val="kar_subsection"/>
      </w:pPr>
      <w:r>
        <w:t xml:space="preserve">(4)</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chairman and served upon the individual as required by KRS Chapter 13B.</w:t>
      </w:r>
    </w:p>
    <w:p>
      <w:pPr>
        <w:pStyle w:val="kar_subsection"/>
      </w:pPr>
      <w:r>
        <w:t xml:space="preserve">(5)</w:t>
      </w:r>
      <w:r>
        <w:t xml:space="preserve"> </w:t>
      </w:r>
      <w:r>
        <w:t xml:space="preserve">If the board determines that a person may be in violation of KRS 334A.030(2), the board shall:</w:t>
      </w:r>
    </w:p>
    <w:p>
      <w:pPr>
        <w:pStyle w:val="kar_paragraph"/>
      </w:pPr>
      <w:r>
        <w:t xml:space="preserve">(a)</w:t>
      </w:r>
      <w:r>
        <w:t xml:space="preserve"> </w:t>
      </w:r>
      <w:r>
        <w:t xml:space="preserve">Order the individual to cease and desist from further violations of KRS 334A.030(2);</w:t>
      </w:r>
    </w:p>
    <w:p>
      <w:pPr>
        <w:pStyle w:val="kar_paragraph"/>
      </w:pPr>
      <w:r>
        <w:t xml:space="preserve">(b)</w:t>
      </w:r>
      <w:r>
        <w:t xml:space="preserve"> </w:t>
      </w:r>
      <w:r>
        <w:t xml:space="preserve">Forward information to the county attorney of the county of residence of the person allegedly violating KRS 334A.030(2) with a request that appropriate action be taken under KRS 334A.990; or</w:t>
      </w:r>
    </w:p>
    <w:p>
      <w:pPr>
        <w:pStyle w:val="kar_paragraph"/>
      </w:pPr>
      <w:r>
        <w:t xml:space="preserve">(c)</w:t>
      </w:r>
      <w:r>
        <w:t xml:space="preserve"> </w:t>
      </w:r>
      <w:r>
        <w:t xml:space="preserve">Initiate action in Franklin Circuit Court for injunctive relief to stop the violation of KRS 334A.030(2) pursuant to KRS 334A.990(2).</w:t>
      </w:r>
    </w:p>
    <w:p>
      <w:pPr>
        <w:pStyle w:val="kar_section"/>
      </w:pPr>
      <w:r>
        <w:t xml:space="preserve">Section 5.</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chairman.</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6.</w:t>
      </w:r>
      <w:r>
        <w:t xml:space="preserve"> </w:t>
      </w:r>
      <w:r>
        <w:t xml:space="preserve">Notice and Service Process. A notice required by KRS Chapter 334A or this administrative regulation shall be issued pursuant to KRS Chapter 13B.</w:t>
      </w:r>
    </w:p>
    <w:p>
      <w:pPr>
        <w:pStyle w:val="kar_section"/>
      </w:pPr>
      <w:r>
        <w:t xml:space="preserve">Section 7.</w:t>
      </w:r>
      <w:r>
        <w:t xml:space="preserve"> </w:t>
      </w:r>
      <w:r>
        <w:t xml:space="preserve">Notification. The board shall make public:</w:t>
      </w:r>
    </w:p>
    <w:p>
      <w:pPr>
        <w:pStyle w:val="kar_subsection"/>
      </w:pPr>
      <w:r>
        <w:t xml:space="preserve">(1)</w:t>
      </w:r>
      <w:r>
        <w:t xml:space="preserve"> </w:t>
      </w:r>
      <w:r>
        <w:t xml:space="preserve">Its final order in a disciplinary action under KRS 334A.180 with the exception of a written admonishment issued pursuant to Section 4(3) of this administrative regulation; and</w:t>
      </w:r>
    </w:p>
    <w:p>
      <w:pPr>
        <w:pStyle w:val="kar_subsection"/>
      </w:pPr>
      <w:r>
        <w:t xml:space="preserve">(2)</w:t>
      </w:r>
      <w:r>
        <w:t xml:space="preserve"> </w:t>
      </w:r>
      <w:r>
        <w:t xml:space="preserve">An action to restrain or enjoin a violation of KRS 334A.030(2).</w:t>
      </w:r>
    </w:p>
    <w:p>
      <w:pPr>
        <w:pStyle w:val="kar_history"/>
      </w:pPr>
      <w:r>
        <w:t xml:space="preserve">(12 Ky.R. 1558; eff. 4-17-86; Am. 26 Ky.R. 877; 1527; eff. 1-26-2000; Crt eff. 2-21-2020.)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e8d0f3c5d94ad4" /><Relationship Type="http://schemas.openxmlformats.org/officeDocument/2006/relationships/settings" Target="/word/settings.xml" Id="R82550a0c3ee24e0a" /></Relationships>
</file>