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1e356dbb424f5e" /></Relationships>
</file>

<file path=word/document.xml><?xml version="1.0" encoding="utf-8"?>
<w:document xmlns:w="http://schemas.openxmlformats.org/wordprocessingml/2006/main">
  <w:body>
    <w:p>
      <w:pPr>
        <w:pStyle w:val="kar_citation"/>
      </w:pPr>
      <w:r>
        <w:t>12 KAR 1:160.</w:t>
      </w:r>
      <w:r>
        <w:t xml:space="preserve"> </w:t>
      </w:r>
      <w:r>
        <w:t xml:space="preserve">Seed not required to be labeled by variety name.</w:t>
      </w:r>
    </w:p>
    <w:p>
      <w:pPr>
        <w:pStyle w:val="kar_markup_metadata"/>
      </w:pPr>
      <w:r>
        <w:t xml:space="preserve">RELATES TO: </w:t>
      </w:r>
      <w:r>
        <w:t xml:space="preserve">KRS 250.081(1)(c)9</w:t>
      </w:r>
    </w:p>
    <w:p>
      <w:pPr>
        <w:pStyle w:val="kar_markup_metadata"/>
      </w:pPr>
      <w:r>
        <w:t xml:space="preserve">STATUTORY AUTHORITY: </w:t>
      </w:r>
      <w:r>
        <w:t xml:space="preserve">KRS 250.081</w:t>
      </w:r>
    </w:p>
    <w:p>
      <w:pPr>
        <w:pStyle w:val="kar_markup_metadata"/>
      </w:pPr>
      <w:r>
        <w:t xml:space="preserve">CERTIFICATION STATEMENT: </w:t>
      </w:r>
    </w:p>
    <w:p>
      <w:pPr>
        <w:pStyle w:val="kar_markup_metadata"/>
      </w:pPr>
      <w:r>
        <w:t xml:space="preserve">NECESSITY, FUNCTION, AND CONFORMITY: </w:t>
      </w:r>
      <w:r>
        <w:t xml:space="preserve">KRS 250.081(1)(c)9 requires the director to secure the efficient enforcement of the provisions of KRS 250.021 through 250.111. This administrative regulation establishes the kinds of seed for which labeling of variety name is not required.</w:t>
      </w:r>
    </w:p>
    <w:p>
      <w:pPr>
        <w:pStyle w:val="kar_section"/>
      </w:pPr>
      <w:r>
        <w:t xml:space="preserve">Section 1.</w:t>
      </w:r>
      <w:r>
        <w:t xml:space="preserve"> </w:t>
      </w:r>
      <w:r>
        <w:t xml:space="preserve">The following kinds of seed shall not be required to show the variety name and the statements "Variety Unknown", "Variety Not Stated, or "VNS":</w:t>
      </w:r>
    </w:p>
    <w:p>
      <w:pPr>
        <w:pStyle w:val="kar_subsection"/>
      </w:pPr>
      <w:r>
        <w:t xml:space="preserve">(1)</w:t>
      </w:r>
      <w:r>
        <w:t xml:space="preserve"> </w:t>
      </w:r>
      <w:r>
        <w:t xml:space="preserve">Bermudagrass (Cynodon dactylon);</w:t>
      </w:r>
    </w:p>
    <w:p>
      <w:pPr>
        <w:pStyle w:val="kar_subsection"/>
      </w:pPr>
      <w:r>
        <w:t xml:space="preserve">(2)</w:t>
      </w:r>
      <w:r>
        <w:t xml:space="preserve"> </w:t>
      </w:r>
      <w:r>
        <w:t xml:space="preserve">Bluegrass, Canada (Poa compressa);</w:t>
      </w:r>
    </w:p>
    <w:p>
      <w:pPr>
        <w:pStyle w:val="kar_subsection"/>
      </w:pPr>
      <w:r>
        <w:t xml:space="preserve">(3)</w:t>
      </w:r>
      <w:r>
        <w:t xml:space="preserve"> </w:t>
      </w:r>
      <w:r>
        <w:t xml:space="preserve">Bluegrass, Rough (Poa trivialis);</w:t>
      </w:r>
    </w:p>
    <w:p>
      <w:pPr>
        <w:pStyle w:val="kar_subsection"/>
      </w:pPr>
      <w:r>
        <w:t xml:space="preserve">(4)</w:t>
      </w:r>
      <w:r>
        <w:t xml:space="preserve"> </w:t>
      </w:r>
      <w:r>
        <w:t xml:space="preserve">Bromegrass, Field (Bromus arvensis);</w:t>
      </w:r>
    </w:p>
    <w:p>
      <w:pPr>
        <w:pStyle w:val="kar_subsection"/>
      </w:pPr>
      <w:r>
        <w:t xml:space="preserve">(5)</w:t>
      </w:r>
      <w:r>
        <w:t xml:space="preserve"> </w:t>
      </w:r>
      <w:r>
        <w:t xml:space="preserve">Buckwheat (Fagopyrum esculentum);</w:t>
      </w:r>
    </w:p>
    <w:p>
      <w:pPr>
        <w:pStyle w:val="kar_subsection"/>
      </w:pPr>
      <w:r>
        <w:t xml:space="preserve">(6)</w:t>
      </w:r>
      <w:r>
        <w:t xml:space="preserve"> </w:t>
      </w:r>
      <w:r>
        <w:t xml:space="preserve">Canarygrass (Phalaris canariensis);</w:t>
      </w:r>
    </w:p>
    <w:p>
      <w:pPr>
        <w:pStyle w:val="kar_subsection"/>
      </w:pPr>
      <w:r>
        <w:t xml:space="preserve">(7)</w:t>
      </w:r>
      <w:r>
        <w:t xml:space="preserve"> </w:t>
      </w:r>
      <w:r>
        <w:t xml:space="preserve">Clover, Alsike (Trifolium hybridum);</w:t>
      </w:r>
    </w:p>
    <w:p>
      <w:pPr>
        <w:pStyle w:val="kar_subsection"/>
      </w:pPr>
      <w:r>
        <w:t xml:space="preserve">(8)</w:t>
      </w:r>
      <w:r>
        <w:t xml:space="preserve"> </w:t>
      </w:r>
      <w:r>
        <w:t xml:space="preserve">Fescue, Chewings (Festuca rubra, var commutata);</w:t>
      </w:r>
    </w:p>
    <w:p>
      <w:pPr>
        <w:pStyle w:val="kar_subsection"/>
      </w:pPr>
      <w:r>
        <w:t xml:space="preserve">(9)</w:t>
      </w:r>
      <w:r>
        <w:t xml:space="preserve"> </w:t>
      </w:r>
      <w:r>
        <w:t xml:space="preserve">Fescue, Meadow (Festuca elatior);</w:t>
      </w:r>
    </w:p>
    <w:p>
      <w:pPr>
        <w:pStyle w:val="kar_subsection"/>
      </w:pPr>
      <w:r>
        <w:t xml:space="preserve">(10)</w:t>
      </w:r>
      <w:r>
        <w:t xml:space="preserve"> </w:t>
      </w:r>
      <w:r>
        <w:t xml:space="preserve">Lespedeza, Korean (Lespedeza stipulacea);</w:t>
      </w:r>
    </w:p>
    <w:p>
      <w:pPr>
        <w:pStyle w:val="kar_subsection"/>
      </w:pPr>
      <w:r>
        <w:t xml:space="preserve">(11)</w:t>
      </w:r>
      <w:r>
        <w:t xml:space="preserve"> </w:t>
      </w:r>
      <w:r>
        <w:t xml:space="preserve">Lespedeza, Striate (Lespedeza striata);</w:t>
      </w:r>
    </w:p>
    <w:p>
      <w:pPr>
        <w:pStyle w:val="kar_subsection"/>
      </w:pPr>
      <w:r>
        <w:t xml:space="preserve">(12)</w:t>
      </w:r>
      <w:r>
        <w:t xml:space="preserve"> </w:t>
      </w:r>
      <w:r>
        <w:t xml:space="preserve">Lovegrass, Sand (Eragrostis trichodes);</w:t>
      </w:r>
    </w:p>
    <w:p>
      <w:pPr>
        <w:pStyle w:val="kar_subsection"/>
      </w:pPr>
      <w:r>
        <w:t xml:space="preserve">(13)</w:t>
      </w:r>
      <w:r>
        <w:t xml:space="preserve"> </w:t>
      </w:r>
      <w:r>
        <w:t xml:space="preserve">Lovegrass, Weeping (Eragrostis curvula);</w:t>
      </w:r>
    </w:p>
    <w:p>
      <w:pPr>
        <w:pStyle w:val="kar_subsection"/>
      </w:pPr>
      <w:r>
        <w:t xml:space="preserve">(14)</w:t>
      </w:r>
      <w:r>
        <w:t xml:space="preserve"> </w:t>
      </w:r>
      <w:r>
        <w:t xml:space="preserve">Millet, Browntop (Panicum ramosum);</w:t>
      </w:r>
    </w:p>
    <w:p>
      <w:pPr>
        <w:pStyle w:val="kar_subsection"/>
      </w:pPr>
      <w:r>
        <w:t xml:space="preserve">(15)</w:t>
      </w:r>
      <w:r>
        <w:t xml:space="preserve"> </w:t>
      </w:r>
      <w:r>
        <w:t xml:space="preserve">Millet, Foxtail (Setaria italica);</w:t>
      </w:r>
    </w:p>
    <w:p>
      <w:pPr>
        <w:pStyle w:val="kar_subsection"/>
      </w:pPr>
      <w:r>
        <w:t xml:space="preserve">(16)</w:t>
      </w:r>
      <w:r>
        <w:t xml:space="preserve"> </w:t>
      </w:r>
      <w:r>
        <w:t xml:space="preserve">Millet, Japanese (Echinochloa crusgalli);</w:t>
      </w:r>
    </w:p>
    <w:p>
      <w:pPr>
        <w:pStyle w:val="kar_subsection"/>
      </w:pPr>
      <w:r>
        <w:t xml:space="preserve">(17)</w:t>
      </w:r>
      <w:r>
        <w:t xml:space="preserve"> </w:t>
      </w:r>
      <w:r>
        <w:t xml:space="preserve">Millet, Proso (Panicum miliaceum);</w:t>
      </w:r>
    </w:p>
    <w:p>
      <w:pPr>
        <w:pStyle w:val="kar_subsection"/>
      </w:pPr>
      <w:r>
        <w:t xml:space="preserve">(18)</w:t>
      </w:r>
      <w:r>
        <w:t xml:space="preserve"> </w:t>
      </w:r>
      <w:r>
        <w:t xml:space="preserve">Rape (Brassica spp.);</w:t>
      </w:r>
    </w:p>
    <w:p>
      <w:pPr>
        <w:pStyle w:val="kar_paragraph"/>
      </w:pPr>
      <w:r>
        <w:t xml:space="preserve">(a)</w:t>
      </w:r>
      <w:r>
        <w:t xml:space="preserve"> </w:t>
      </w:r>
      <w:r>
        <w:t xml:space="preserve">Annual (B. napus, var annua);</w:t>
      </w:r>
    </w:p>
    <w:p>
      <w:pPr>
        <w:pStyle w:val="kar_paragraph"/>
      </w:pPr>
      <w:r>
        <w:t xml:space="preserve">(b)</w:t>
      </w:r>
      <w:r>
        <w:t xml:space="preserve"> </w:t>
      </w:r>
      <w:r>
        <w:t xml:space="preserve">Turnip, Annual or Bird (B. campestris);</w:t>
      </w:r>
    </w:p>
    <w:p>
      <w:pPr>
        <w:pStyle w:val="kar_paragraph"/>
      </w:pPr>
      <w:r>
        <w:t xml:space="preserve">(c)</w:t>
      </w:r>
      <w:r>
        <w:t xml:space="preserve"> </w:t>
      </w:r>
      <w:r>
        <w:t xml:space="preserve">Turnip, Biennial (B. campestris, var autumnalis);</w:t>
      </w:r>
    </w:p>
    <w:p>
      <w:pPr>
        <w:pStyle w:val="kar_subsection"/>
      </w:pPr>
      <w:r>
        <w:t xml:space="preserve">(19)</w:t>
      </w:r>
      <w:r>
        <w:t xml:space="preserve"> </w:t>
      </w:r>
      <w:r>
        <w:t xml:space="preserve">Redtop (Agrostis alba);</w:t>
      </w:r>
    </w:p>
    <w:p>
      <w:pPr>
        <w:pStyle w:val="kar_subsection"/>
      </w:pPr>
      <w:r>
        <w:t xml:space="preserve">(20)</w:t>
      </w:r>
      <w:r>
        <w:t xml:space="preserve"> </w:t>
      </w:r>
      <w:r>
        <w:t xml:space="preserve">Sweetclover, White (Melilotus alba);</w:t>
      </w:r>
    </w:p>
    <w:p>
      <w:pPr>
        <w:pStyle w:val="kar_subsection"/>
      </w:pPr>
      <w:r>
        <w:t xml:space="preserve">(21)</w:t>
      </w:r>
      <w:r>
        <w:t xml:space="preserve"> </w:t>
      </w:r>
      <w:r>
        <w:t xml:space="preserve">Sweetclover, Yellow (Melilotus officinalis);</w:t>
      </w:r>
    </w:p>
    <w:p>
      <w:pPr>
        <w:pStyle w:val="kar_subsection"/>
      </w:pPr>
      <w:r>
        <w:t xml:space="preserve">(22)</w:t>
      </w:r>
      <w:r>
        <w:t xml:space="preserve"> </w:t>
      </w:r>
      <w:r>
        <w:t xml:space="preserve">Vetch, Common (Vicia sativa); and</w:t>
      </w:r>
    </w:p>
    <w:p>
      <w:pPr>
        <w:pStyle w:val="kar_subsection"/>
      </w:pPr>
      <w:r>
        <w:t xml:space="preserve">(23)</w:t>
      </w:r>
      <w:r>
        <w:t xml:space="preserve"> </w:t>
      </w:r>
      <w:r>
        <w:t xml:space="preserve">Vetch, Hairy (Vicia villous).</w:t>
      </w:r>
    </w:p>
    <w:p>
      <w:pPr>
        <w:pStyle w:val="kar_history"/>
      </w:pPr>
      <w:r>
        <w:t xml:space="preserve">(20 Ky.R. 3330; eff. 8-24-1994; 47 Ky.R. 102, 702; eff. 11-18-2020.)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b3b83e8f344891" /><Relationship Type="http://schemas.openxmlformats.org/officeDocument/2006/relationships/settings" Target="/word/settings.xml" Id="Re9310970049c4676" /></Relationships>
</file>