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7d4c76ae34c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36:020.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335.525(6), 335.535(1), (2), (4)</w:t>
      </w:r>
    </w:p>
    <w:p>
      <w:pPr>
        <w:pStyle w:val="kar_markup_metadata"/>
      </w:pPr>
      <w:r>
        <w:t xml:space="preserve">STATUTORY AUTHORITY: </w:t>
      </w:r>
      <w:r>
        <w:t xml:space="preserve">KRS 335.515(3), 335.525(6), 335.535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335.515(3), 335.525(6), and 335.535 require the board to promulgate administrative regulations relating to the establishment of fees. This administrative regulation establishes the application, renewal, and reinstatement fees for a professional counselor and a professional counselor associate and the date a licensure shall be renewed.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Application Fee.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application fee for licensure as a professional counselor shall be $150.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application fee for licensure as a professional counselor associate shall be fifty (50) dollars.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Renewal Fees and Penalties.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annual renewal fee for licensure as a professional counselor shall be $150.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annual renewal fee for licensure as a professional counselor associate shall be fifty (50) dollars.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late renewal fee for late renewal during the sixty (60) day grace period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Twenty-five (25) dollars for licensure as a professional counselor;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Ten (10) dollars for licensure as a professional counselor associate.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reinstatement fee for licensure renewal after the end of the sixty (60) day grace period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$100 for licensure as a professional counselor;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Forty (40) dollars for licensure as a professional counselor associate.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All fees shall be non-refundable.</w:t>
      </w:r>
    </w:p>
    <w:p>
      <w:pPr>
        <w:pStyle w:val="kar_history"/>
      </w:pPr>
      <w:r>
        <w:t xml:space="preserve">(25 Ky.R. 480; Am. 828; eff. 9-16-1998; 27 Ky.R. 1326; 2727; eff. 4-9-2001; 29 Ky.R. 2509; eff. 6-16-2003; 43 Ky.R. 770, 1392; eff. 3-31-2017; Cert eff. 12-20-2023.)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7c4c922dc5471c" /><Relationship Type="http://schemas.openxmlformats.org/officeDocument/2006/relationships/settings" Target="/word/settings.xml" Id="Re823731f192440f9" /></Relationships>
</file>