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2bc05e46e4db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45:160.</w:t>
      </w:r>
      <w:r>
        <w:t xml:space="preserve"> </w:t>
      </w:r>
      <w:r>
        <w:t xml:space="preserve">Scope of practice.</w:t>
      </w:r>
    </w:p>
    <w:p>
      <w:pPr>
        <w:pStyle w:val="kar_markup_metadata"/>
      </w:pPr>
      <w:r>
        <w:t xml:space="preserve">RELATES TO: </w:t>
      </w:r>
      <w:r>
        <w:t xml:space="preserve">KRS 309.331, 309.339</w:t>
      </w:r>
    </w:p>
    <w:p>
      <w:pPr>
        <w:pStyle w:val="kar_markup_metadata"/>
      </w:pPr>
      <w:r>
        <w:t xml:space="preserve">STATUTORY AUTHORITY: </w:t>
      </w:r>
      <w:r>
        <w:t xml:space="preserve">KRS 309.331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KRS 309.331 requires the board to promulgate administrative regulations for the administration and enforcement of KRS 309.325 to 309.339. This administrative regulation establishes the functions that a diabetes educator may perform.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A person holding a license or a permit from the board may perform the following functions: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Provide education and support for people with diabetes, people at risk for diabetes, and caregivers of those with diabetes;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Communicate and coordinate with other health care professionals to provide education and support for people with diabetes, people at risk for diabetes, and caregivers of those with diabetes;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Provide diabetes self-management services, including activities that assist a person in implementing and sustaining the behaviors needed to manage diabetes on an ongoing basis;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Determine the persons to whom diabetes education and services will be provided, how those education and services may be best delivered, and what resources will assist those persons;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Develop a program for diabetes management, which may include: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Describing the diabetes treatment process and treatment options;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Incorporating nutritional management into lifestyle;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Incorporating physical activity into lifestyle;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Using medications safely and effectively;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Monitoring blood glucose and other parameters and interpreting and using the results for self-management and decision making;</w:t>
      </w:r>
    </w:p>
    <w:p>
      <w:pPr>
        <w:pStyle w:val="kar_paragraph"/>
      </w:pPr>
      <w:r>
        <w:t xml:space="preserve">(f)</w:t>
      </w:r>
      <w:r>
        <w:t xml:space="preserve"> </w:t>
      </w:r>
      <w:r>
        <w:t xml:space="preserve">Preventing, detecting, and treating acute and chronic complications of diabetes;</w:t>
      </w:r>
    </w:p>
    <w:p>
      <w:pPr>
        <w:pStyle w:val="kar_paragraph"/>
      </w:pPr>
      <w:r>
        <w:t xml:space="preserve">(g)</w:t>
      </w:r>
      <w:r>
        <w:t xml:space="preserve"> </w:t>
      </w:r>
      <w:r>
        <w:t xml:space="preserve">Developing personal strategies to address psychosocial issues and concerns; or</w:t>
      </w:r>
    </w:p>
    <w:p>
      <w:pPr>
        <w:pStyle w:val="kar_paragraph"/>
      </w:pPr>
      <w:r>
        <w:t xml:space="preserve">(h)</w:t>
      </w:r>
      <w:r>
        <w:t xml:space="preserve"> </w:t>
      </w:r>
      <w:r>
        <w:t xml:space="preserve">Developing personal strategies to promote health and behavior change;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Develop an individualized education and support plan focused on behavior change, which shall be documented in an education or health record;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Develop a personalized follow-up plan for ongoing self-management support, and communicate that follow-up plan to other health care providers as necessary;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Monitor if participants are achieving their personal diabetes self-management goals and other outcomes using the following appropriate frameworks and measurement techniques: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Physical activity;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Healthy eating;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Taking medication;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Monitoring blood glucose;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Diabetes self-care related problem solving;</w:t>
      </w:r>
    </w:p>
    <w:p>
      <w:pPr>
        <w:pStyle w:val="kar_paragraph"/>
      </w:pPr>
      <w:r>
        <w:t xml:space="preserve">(f)</w:t>
      </w:r>
      <w:r>
        <w:t xml:space="preserve"> </w:t>
      </w:r>
      <w:r>
        <w:t xml:space="preserve">Reducing risks of acute and chronic complications of diabetes;</w:t>
      </w:r>
    </w:p>
    <w:p>
      <w:pPr>
        <w:pStyle w:val="kar_paragraph"/>
      </w:pPr>
      <w:r>
        <w:t xml:space="preserve">(g)</w:t>
      </w:r>
      <w:r>
        <w:t xml:space="preserve"> </w:t>
      </w:r>
      <w:r>
        <w:t xml:space="preserve">Evaluation of the psychosocial aspects of living with diabetes; or</w:t>
      </w:r>
    </w:p>
    <w:p>
      <w:pPr>
        <w:pStyle w:val="kar_subsection"/>
      </w:pPr>
      <w:r>
        <w:t xml:space="preserve">(9)</w:t>
      </w:r>
      <w:r>
        <w:t xml:space="preserve"> </w:t>
      </w:r>
      <w:r>
        <w:t xml:space="preserve">Evaluate the effectiveness of the education and services, and engage in a systematic review of process and outcome data.</w:t>
      </w:r>
    </w:p>
    <w:p>
      <w:pPr>
        <w:pStyle w:val="kar_history"/>
      </w:pPr>
      <w:r>
        <w:t xml:space="preserve">(40 Ky.R. 194; 591; 791; eff. 11-1-2013; Crt eff. 10-27-2020.)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179da380147e5" /><Relationship Type="http://schemas.openxmlformats.org/officeDocument/2006/relationships/settings" Target="/word/settings.xml" Id="R69168c189b284fc7" /></Relationships>
</file>