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246b7ce4c2c44d9" /></Relationships>
</file>

<file path=word/document.xml><?xml version="1.0" encoding="utf-8"?>
<w:document xmlns:w="http://schemas.openxmlformats.org/wordprocessingml/2006/main">
  <w:body>
    <w:p>
      <w:pPr>
        <w:pStyle w:val="kar_citation"/>
      </w:pPr>
      <w:r>
        <w:t>12 KAR 4:130.</w:t>
      </w:r>
      <w:r>
        <w:t xml:space="preserve"> </w:t>
      </w:r>
      <w:r>
        <w:t xml:space="preserve">Investigational allowances.</w:t>
      </w:r>
    </w:p>
    <w:p>
      <w:pPr>
        <w:pStyle w:val="kar_markup_metadata"/>
      </w:pPr>
      <w:r>
        <w:t xml:space="preserve">RELATES TO: </w:t>
      </w:r>
      <w:r>
        <w:t xml:space="preserve">KRS 250.366(19), 250.391(3), 250.396(1), (2), 250.401</w:t>
      </w:r>
    </w:p>
    <w:p>
      <w:pPr>
        <w:pStyle w:val="kar_markup_metadata"/>
      </w:pPr>
      <w:r>
        <w:t xml:space="preserve">STATUTORY AUTHORITY: </w:t>
      </w:r>
      <w:r>
        <w:t xml:space="preserve">KRS 250.421</w:t>
      </w:r>
    </w:p>
    <w:p>
      <w:pPr>
        <w:pStyle w:val="kar_markup_metadata"/>
      </w:pPr>
      <w:r>
        <w:t xml:space="preserve">CERTIFICATION STATEMENT: </w:t>
      </w:r>
    </w:p>
    <w:p>
      <w:pPr>
        <w:pStyle w:val="kar_markup_metadata"/>
      </w:pPr>
      <w:r>
        <w:t xml:space="preserve">NECESSITY, FUNCTION, AND CONFORMITY: </w:t>
      </w:r>
      <w:r>
        <w:t xml:space="preserve">KRS 250.421 requires the director to promulgate administrative regulations necessary to implement KRS 250.361 through 250.461. This administrative regulation establishes scientifically sound and fair investigational allowances as a basis for declaring a fertilizer sample deficient in its guaranteed analyses and to detail the calculation of the index value of a fertilizer.</w:t>
      </w:r>
    </w:p>
    <w:p>
      <w:pPr>
        <w:pStyle w:val="kar_section"/>
      </w:pPr>
      <w:r>
        <w:t xml:space="preserve">Section 1.</w:t>
      </w:r>
      <w:r>
        <w:t xml:space="preserve"> </w:t>
      </w:r>
      <w:r>
        <w:t xml:space="preserve">A fertilizer shall be deemed deficient if the analysis of an official sample for any primary nutrient is below the guarantee by an amount exceeding the values in the table established in this section.</w:t>
      </w:r>
    </w:p>
    <w:tbl>
      <w:tblPr>
        <w:tblStyle w:val="kar_table"/>
        <w:tblW w:w="0" w:type="auto"/>
      </w:tblPr>
      <w:tblGrid>
        <w:gridCol w:w="1"/>
        <w:gridCol w:w="1"/>
        <w:gridCol w:w="1"/>
        <w:gridCol w:w="1"/>
      </w:tblGrid>
      <w:tr>
        <w:tc>
          <w:tcPr/>
          <w:p>
            <w:pPr>
              <w:pStyle w:val="kar_table_cell"/>
            </w:pPr>
            <w:r>
              <w:t xml:space="preserve">Guaranteed</w:t>
            </w:r>
            <w:r>
              <w:t xml:space="preserve">percent</w:t>
            </w:r>
          </w:p>
        </w:tc>
        <w:tc>
          <w:tcPr/>
          <w:p>
            <w:pPr>
              <w:pStyle w:val="kar_table_cell"/>
            </w:pPr>
            <w:r>
              <w:t xml:space="preserve">Total</w:t>
            </w:r>
            <w:r>
              <w:t xml:space="preserve">Nitrogen (N)</w:t>
            </w:r>
            <w:r>
              <w:t xml:space="preserve">percent*</w:t>
            </w:r>
          </w:p>
        </w:tc>
        <w:tc>
          <w:tcPr/>
          <w:p>
            <w:pPr>
              <w:pStyle w:val="kar_table_cell"/>
            </w:pPr>
            <w:r>
              <w:t xml:space="preserve">Available</w:t>
            </w:r>
            <w:r>
              <w:t xml:space="preserve">Phosphate</w:t>
            </w:r>
            <w:r>
              <w:t xml:space="preserve">(P</w:t>
            </w:r>
            <w:r>
              <w:rPr>
                <w:vertAlign w:val="subscript"/>
              </w:rPr>
              <w:t xml:space="preserve">2</w:t>
            </w:r>
            <w:r>
              <w:t xml:space="preserve">O</w:t>
            </w:r>
            <w:r>
              <w:rPr>
                <w:vertAlign w:val="subscript"/>
              </w:rPr>
              <w:t xml:space="preserve">5</w:t>
            </w:r>
            <w:r>
              <w:t xml:space="preserve">) percent*</w:t>
            </w:r>
          </w:p>
        </w:tc>
        <w:tc>
          <w:tcPr/>
          <w:p>
            <w:pPr>
              <w:pStyle w:val="kar_table_cell"/>
            </w:pPr>
            <w:r>
              <w:t xml:space="preserve">Soluble</w:t>
            </w:r>
            <w:r>
              <w:t xml:space="preserve">Potash (K</w:t>
            </w:r>
            <w:r>
              <w:rPr>
                <w:vertAlign w:val="subscript"/>
              </w:rPr>
              <w:t xml:space="preserve">2</w:t>
            </w:r>
            <w:r>
              <w:t xml:space="preserve">O)</w:t>
            </w:r>
            <w:r>
              <w:t xml:space="preserve">percent*</w:t>
            </w:r>
          </w:p>
        </w:tc>
      </w:tr>
      <w:tr>
        <w:tc>
          <w:tcPr/>
          <w:p>
            <w:pPr>
              <w:pStyle w:val="kar_table_cell"/>
            </w:pPr>
            <w:r>
              <w:t xml:space="preserve">05 or less</w:t>
            </w:r>
          </w:p>
        </w:tc>
        <w:tc>
          <w:tcPr/>
          <w:p>
            <w:pPr>
              <w:pStyle w:val="kar_table_cell"/>
            </w:pPr>
            <w:r>
              <w:t xml:space="preserve">0.37</w:t>
            </w:r>
          </w:p>
        </w:tc>
        <w:tc>
          <w:tcPr/>
          <w:p>
            <w:pPr>
              <w:pStyle w:val="kar_table_cell"/>
            </w:pPr>
            <w:r>
              <w:t xml:space="preserve">0.65</w:t>
            </w:r>
          </w:p>
        </w:tc>
        <w:tc>
          <w:tcPr/>
          <w:p>
            <w:pPr>
              <w:pStyle w:val="kar_table_cell"/>
            </w:pPr>
            <w:r>
              <w:t xml:space="preserve">0.39</w:t>
            </w:r>
          </w:p>
        </w:tc>
      </w:tr>
      <w:tr>
        <w:tc>
          <w:tcPr/>
          <w:p>
            <w:pPr>
              <w:pStyle w:val="kar_table_cell"/>
            </w:pPr>
            <w:r>
              <w:t xml:space="preserve">06</w:t>
            </w:r>
          </w:p>
        </w:tc>
        <w:tc>
          <w:tcPr/>
          <w:p>
            <w:pPr>
              <w:pStyle w:val="kar_table_cell"/>
            </w:pPr>
            <w:r>
              <w:t xml:space="preserve">0.47</w:t>
            </w:r>
          </w:p>
        </w:tc>
        <w:tc>
          <w:tcPr/>
          <w:p>
            <w:pPr>
              <w:pStyle w:val="kar_table_cell"/>
            </w:pPr>
            <w:r>
              <w:t xml:space="preserve">0.71</w:t>
            </w:r>
          </w:p>
        </w:tc>
        <w:tc>
          <w:tcPr/>
          <w:p>
            <w:pPr>
              <w:pStyle w:val="kar_table_cell"/>
            </w:pPr>
            <w:r>
              <w:t xml:space="preserve">0.47</w:t>
            </w:r>
          </w:p>
        </w:tc>
      </w:tr>
      <w:tr>
        <w:tc>
          <w:tcPr/>
          <w:p>
            <w:pPr>
              <w:pStyle w:val="kar_table_cell"/>
            </w:pPr>
            <w:r>
              <w:t xml:space="preserve">07</w:t>
            </w:r>
          </w:p>
        </w:tc>
        <w:tc>
          <w:tcPr/>
          <w:p>
            <w:pPr>
              <w:pStyle w:val="kar_table_cell"/>
            </w:pPr>
            <w:r>
              <w:t xml:space="preserve">0.59</w:t>
            </w:r>
          </w:p>
        </w:tc>
        <w:tc>
          <w:tcPr/>
          <w:p>
            <w:pPr>
              <w:pStyle w:val="kar_table_cell"/>
            </w:pPr>
            <w:r>
              <w:t xml:space="preserve">0.77</w:t>
            </w:r>
          </w:p>
        </w:tc>
        <w:tc>
          <w:tcPr/>
          <w:p>
            <w:pPr>
              <w:pStyle w:val="kar_table_cell"/>
            </w:pPr>
            <w:r>
              <w:t xml:space="preserve">0.56</w:t>
            </w:r>
          </w:p>
        </w:tc>
      </w:tr>
      <w:tr>
        <w:tc>
          <w:tcPr/>
          <w:p>
            <w:pPr>
              <w:pStyle w:val="kar_table_cell"/>
            </w:pPr>
            <w:r>
              <w:t xml:space="preserve">08</w:t>
            </w:r>
          </w:p>
        </w:tc>
        <w:tc>
          <w:tcPr/>
          <w:p>
            <w:pPr>
              <w:pStyle w:val="kar_table_cell"/>
            </w:pPr>
            <w:r>
              <w:t xml:space="preserve">0.72</w:t>
            </w:r>
          </w:p>
        </w:tc>
        <w:tc>
          <w:tcPr/>
          <w:p>
            <w:pPr>
              <w:pStyle w:val="kar_table_cell"/>
            </w:pPr>
            <w:r>
              <w:t xml:space="preserve">0.82</w:t>
            </w:r>
          </w:p>
        </w:tc>
        <w:tc>
          <w:tcPr/>
          <w:p>
            <w:pPr>
              <w:pStyle w:val="kar_table_cell"/>
            </w:pPr>
            <w:r>
              <w:t xml:space="preserve">0.63</w:t>
            </w:r>
          </w:p>
        </w:tc>
      </w:tr>
      <w:tr>
        <w:tc>
          <w:tcPr/>
          <w:p>
            <w:pPr>
              <w:pStyle w:val="kar_table_cell"/>
            </w:pPr>
            <w:r>
              <w:t xml:space="preserve">09</w:t>
            </w:r>
          </w:p>
        </w:tc>
        <w:tc>
          <w:tcPr/>
          <w:p>
            <w:pPr>
              <w:pStyle w:val="kar_table_cell"/>
            </w:pPr>
            <w:r>
              <w:t xml:space="preserve">0.81</w:t>
            </w:r>
          </w:p>
        </w:tc>
        <w:tc>
          <w:tcPr/>
          <w:p>
            <w:pPr>
              <w:pStyle w:val="kar_table_cell"/>
            </w:pPr>
            <w:r>
              <w:t xml:space="preserve">0.86</w:t>
            </w:r>
          </w:p>
        </w:tc>
        <w:tc>
          <w:tcPr/>
          <w:p>
            <w:pPr>
              <w:pStyle w:val="kar_table_cell"/>
            </w:pPr>
            <w:r>
              <w:t xml:space="preserve">0.70</w:t>
            </w:r>
          </w:p>
        </w:tc>
      </w:tr>
      <w:tr>
        <w:tc>
          <w:tcPr/>
          <w:p>
            <w:pPr>
              <w:pStyle w:val="kar_table_cell"/>
            </w:pPr>
            <w:r>
              <w:t xml:space="preserve">10</w:t>
            </w:r>
          </w:p>
        </w:tc>
        <w:tc>
          <w:tcPr/>
          <w:p>
            <w:pPr>
              <w:pStyle w:val="kar_table_cell"/>
            </w:pPr>
            <w:r>
              <w:t xml:space="preserve">0.89</w:t>
            </w:r>
          </w:p>
        </w:tc>
        <w:tc>
          <w:tcPr/>
          <w:p>
            <w:pPr>
              <w:pStyle w:val="kar_table_cell"/>
            </w:pPr>
            <w:r>
              <w:t xml:space="preserve">0.89</w:t>
            </w:r>
          </w:p>
        </w:tc>
        <w:tc>
          <w:tcPr/>
          <w:p>
            <w:pPr>
              <w:pStyle w:val="kar_table_cell"/>
            </w:pPr>
            <w:r>
              <w:t xml:space="preserve">0.76</w:t>
            </w:r>
          </w:p>
        </w:tc>
      </w:tr>
      <w:tr>
        <w:tc>
          <w:tcPr/>
          <w:p>
            <w:pPr>
              <w:pStyle w:val="kar_table_cell"/>
            </w:pPr>
            <w:r>
              <w:t xml:space="preserve">12</w:t>
            </w:r>
          </w:p>
        </w:tc>
        <w:tc>
          <w:tcPr/>
          <w:p>
            <w:pPr>
              <w:pStyle w:val="kar_table_cell"/>
            </w:pPr>
            <w:r>
              <w:t xml:space="preserve">1.03</w:t>
            </w:r>
          </w:p>
        </w:tc>
        <w:tc>
          <w:tcPr/>
          <w:p>
            <w:pPr>
              <w:pStyle w:val="kar_table_cell"/>
            </w:pPr>
            <w:r>
              <w:t xml:space="preserve">0.95</w:t>
            </w:r>
          </w:p>
        </w:tc>
        <w:tc>
          <w:tcPr/>
          <w:p>
            <w:pPr>
              <w:pStyle w:val="kar_table_cell"/>
            </w:pPr>
            <w:r>
              <w:t xml:space="preserve">0.87</w:t>
            </w:r>
          </w:p>
        </w:tc>
      </w:tr>
      <w:tr>
        <w:tc>
          <w:tcPr/>
          <w:p>
            <w:pPr>
              <w:pStyle w:val="kar_table_cell"/>
            </w:pPr>
            <w:r>
              <w:t xml:space="preserve">14</w:t>
            </w:r>
          </w:p>
        </w:tc>
        <w:tc>
          <w:tcPr/>
          <w:p>
            <w:pPr>
              <w:pStyle w:val="kar_table_cell"/>
            </w:pPr>
            <w:r>
              <w:t xml:space="preserve">1.18</w:t>
            </w:r>
          </w:p>
        </w:tc>
        <w:tc>
          <w:tcPr/>
          <w:p>
            <w:pPr>
              <w:pStyle w:val="kar_table_cell"/>
            </w:pPr>
            <w:r>
              <w:t xml:space="preserve">1.02</w:t>
            </w:r>
          </w:p>
        </w:tc>
        <w:tc>
          <w:tcPr/>
          <w:p>
            <w:pPr>
              <w:pStyle w:val="kar_table_cell"/>
            </w:pPr>
            <w:r>
              <w:t xml:space="preserve">0.96</w:t>
            </w:r>
          </w:p>
        </w:tc>
      </w:tr>
      <w:tr>
        <w:tc>
          <w:tcPr/>
          <w:p>
            <w:pPr>
              <w:pStyle w:val="kar_table_cell"/>
            </w:pPr>
            <w:r>
              <w:t xml:space="preserve">16</w:t>
            </w:r>
          </w:p>
        </w:tc>
        <w:tc>
          <w:tcPr/>
          <w:p>
            <w:pPr>
              <w:pStyle w:val="kar_table_cell"/>
            </w:pPr>
            <w:r>
              <w:t xml:space="preserve">1.29</w:t>
            </w:r>
          </w:p>
        </w:tc>
        <w:tc>
          <w:tcPr/>
          <w:p>
            <w:pPr>
              <w:pStyle w:val="kar_table_cell"/>
            </w:pPr>
            <w:r>
              <w:t xml:space="preserve">1.12</w:t>
            </w:r>
          </w:p>
        </w:tc>
        <w:tc>
          <w:tcPr/>
          <w:p>
            <w:pPr>
              <w:pStyle w:val="kar_table_cell"/>
            </w:pPr>
            <w:r>
              <w:t xml:space="preserve">1.05</w:t>
            </w:r>
          </w:p>
        </w:tc>
      </w:tr>
      <w:tr>
        <w:tc>
          <w:tcPr/>
          <w:p>
            <w:pPr>
              <w:pStyle w:val="kar_table_cell"/>
            </w:pPr>
            <w:r>
              <w:t xml:space="preserve">18</w:t>
            </w:r>
          </w:p>
        </w:tc>
        <w:tc>
          <w:tcPr/>
          <w:p>
            <w:pPr>
              <w:pStyle w:val="kar_table_cell"/>
            </w:pPr>
            <w:r>
              <w:t xml:space="preserve">1.43</w:t>
            </w:r>
          </w:p>
        </w:tc>
        <w:tc>
          <w:tcPr/>
          <w:p>
            <w:pPr>
              <w:pStyle w:val="kar_table_cell"/>
            </w:pPr>
            <w:r>
              <w:t xml:space="preserve">1.19</w:t>
            </w:r>
          </w:p>
        </w:tc>
        <w:tc>
          <w:tcPr/>
          <w:p>
            <w:pPr>
              <w:pStyle w:val="kar_table_cell"/>
            </w:pPr>
            <w:r>
              <w:t xml:space="preserve">1.12</w:t>
            </w:r>
          </w:p>
        </w:tc>
      </w:tr>
      <w:tr>
        <w:tc>
          <w:tcPr/>
          <w:p>
            <w:pPr>
              <w:pStyle w:val="kar_table_cell"/>
            </w:pPr>
            <w:r>
              <w:t xml:space="preserve">20</w:t>
            </w:r>
          </w:p>
        </w:tc>
        <w:tc>
          <w:tcPr/>
          <w:p>
            <w:pPr>
              <w:pStyle w:val="kar_table_cell"/>
            </w:pPr>
            <w:r>
              <w:t xml:space="preserve">1.57</w:t>
            </w:r>
          </w:p>
        </w:tc>
        <w:tc>
          <w:tcPr/>
          <w:p>
            <w:pPr>
              <w:pStyle w:val="kar_table_cell"/>
            </w:pPr>
            <w:r>
              <w:t xml:space="preserve">1.32</w:t>
            </w:r>
          </w:p>
        </w:tc>
        <w:tc>
          <w:tcPr/>
          <w:p>
            <w:pPr>
              <w:pStyle w:val="kar_table_cell"/>
            </w:pPr>
            <w:r>
              <w:t xml:space="preserve">1.18</w:t>
            </w:r>
          </w:p>
        </w:tc>
      </w:tr>
      <w:tr>
        <w:tc>
          <w:tcPr/>
          <w:p>
            <w:pPr>
              <w:pStyle w:val="kar_table_cell"/>
            </w:pPr>
            <w:r>
              <w:t xml:space="preserve">22</w:t>
            </w:r>
          </w:p>
        </w:tc>
        <w:tc>
          <w:tcPr/>
          <w:p>
            <w:pPr>
              <w:pStyle w:val="kar_table_cell"/>
            </w:pPr>
            <w:r>
              <w:t xml:space="preserve">1.62</w:t>
            </w:r>
          </w:p>
        </w:tc>
        <w:tc>
          <w:tcPr/>
          <w:p>
            <w:pPr>
              <w:pStyle w:val="kar_table_cell"/>
            </w:pPr>
            <w:r>
              <w:t xml:space="preserve">1.39</w:t>
            </w:r>
          </w:p>
        </w:tc>
        <w:tc>
          <w:tcPr/>
          <w:p>
            <w:pPr>
              <w:pStyle w:val="kar_table_cell"/>
            </w:pPr>
            <w:r>
              <w:t xml:space="preserve">1.22</w:t>
            </w:r>
          </w:p>
        </w:tc>
      </w:tr>
      <w:tr>
        <w:tc>
          <w:tcPr/>
          <w:p>
            <w:pPr>
              <w:pStyle w:val="kar_table_cell"/>
            </w:pPr>
            <w:r>
              <w:t xml:space="preserve">24</w:t>
            </w:r>
          </w:p>
        </w:tc>
        <w:tc>
          <w:tcPr/>
          <w:p>
            <w:pPr>
              <w:pStyle w:val="kar_table_cell"/>
            </w:pPr>
            <w:r>
              <w:t xml:space="preserve">1.65</w:t>
            </w:r>
          </w:p>
        </w:tc>
        <w:tc>
          <w:tcPr/>
          <w:p>
            <w:pPr>
              <w:pStyle w:val="kar_table_cell"/>
            </w:pPr>
            <w:r>
              <w:t xml:space="preserve">1.46</w:t>
            </w:r>
          </w:p>
        </w:tc>
        <w:tc>
          <w:tcPr/>
          <w:p>
            <w:pPr>
              <w:pStyle w:val="kar_table_cell"/>
            </w:pPr>
            <w:r>
              <w:t xml:space="preserve">1.26</w:t>
            </w:r>
          </w:p>
        </w:tc>
      </w:tr>
      <w:tr>
        <w:tc>
          <w:tcPr/>
          <w:p>
            <w:pPr>
              <w:pStyle w:val="kar_table_cell"/>
            </w:pPr>
            <w:r>
              <w:t xml:space="preserve">26</w:t>
            </w:r>
          </w:p>
        </w:tc>
        <w:tc>
          <w:tcPr/>
          <w:p>
            <w:pPr>
              <w:pStyle w:val="kar_table_cell"/>
            </w:pPr>
            <w:r>
              <w:t xml:space="preserve">1.66</w:t>
            </w:r>
          </w:p>
        </w:tc>
        <w:tc>
          <w:tcPr/>
          <w:p>
            <w:pPr>
              <w:pStyle w:val="kar_table_cell"/>
            </w:pPr>
            <w:r>
              <w:t xml:space="preserve">1.53</w:t>
            </w:r>
          </w:p>
        </w:tc>
        <w:tc>
          <w:tcPr/>
          <w:p>
            <w:pPr>
              <w:pStyle w:val="kar_table_cell"/>
            </w:pPr>
            <w:r>
              <w:t xml:space="preserve">1.29</w:t>
            </w:r>
          </w:p>
        </w:tc>
      </w:tr>
      <w:tr>
        <w:tc>
          <w:tcPr/>
          <w:p>
            <w:pPr>
              <w:pStyle w:val="kar_table_cell"/>
            </w:pPr>
            <w:r>
              <w:t xml:space="preserve">28</w:t>
            </w:r>
          </w:p>
        </w:tc>
        <w:tc>
          <w:tcPr/>
          <w:p>
            <w:pPr>
              <w:pStyle w:val="kar_table_cell"/>
            </w:pPr>
            <w:r>
              <w:t xml:space="preserve">1.58</w:t>
            </w:r>
          </w:p>
        </w:tc>
        <w:tc>
          <w:tcPr/>
          <w:p>
            <w:pPr>
              <w:pStyle w:val="kar_table_cell"/>
            </w:pPr>
            <w:r>
              <w:t xml:space="preserve">1.59</w:t>
            </w:r>
          </w:p>
        </w:tc>
        <w:tc>
          <w:tcPr/>
          <w:p>
            <w:pPr>
              <w:pStyle w:val="kar_table_cell"/>
            </w:pPr>
            <w:r>
              <w:t xml:space="preserve">1.33</w:t>
            </w:r>
          </w:p>
        </w:tc>
      </w:tr>
      <w:tr>
        <w:tc>
          <w:tcPr/>
          <w:p>
            <w:pPr>
              <w:pStyle w:val="kar_table_cell"/>
            </w:pPr>
            <w:r>
              <w:t xml:space="preserve">30</w:t>
            </w:r>
          </w:p>
        </w:tc>
        <w:tc>
          <w:tcPr/>
          <w:p>
            <w:pPr>
              <w:pStyle w:val="kar_table_cell"/>
            </w:pPr>
            <w:r>
              <w:t xml:space="preserve">1.28</w:t>
            </w:r>
          </w:p>
        </w:tc>
        <w:tc>
          <w:tcPr/>
          <w:p>
            <w:pPr>
              <w:pStyle w:val="kar_table_cell"/>
            </w:pPr>
            <w:r>
              <w:t xml:space="preserve">1.67</w:t>
            </w:r>
          </w:p>
        </w:tc>
        <w:tc>
          <w:tcPr/>
          <w:p>
            <w:pPr>
              <w:pStyle w:val="kar_table_cell"/>
            </w:pPr>
            <w:r>
              <w:t xml:space="preserve">1.36</w:t>
            </w:r>
          </w:p>
        </w:tc>
      </w:tr>
      <w:tr>
        <w:tc>
          <w:tcPr/>
          <w:p>
            <w:pPr>
              <w:pStyle w:val="kar_table_cell"/>
            </w:pPr>
            <w:r>
              <w:t xml:space="preserve">32 or more</w:t>
            </w:r>
          </w:p>
        </w:tc>
        <w:tc>
          <w:tcPr/>
          <w:p>
            <w:pPr>
              <w:pStyle w:val="kar_table_cell"/>
            </w:pPr>
            <w:r>
              <w:t xml:space="preserve">1.28</w:t>
            </w:r>
          </w:p>
        </w:tc>
        <w:tc>
          <w:tcPr/>
          <w:p>
            <w:pPr>
              <w:pStyle w:val="kar_table_cell"/>
            </w:pPr>
            <w:r>
              <w:t xml:space="preserve">1.67</w:t>
            </w:r>
          </w:p>
        </w:tc>
        <w:tc>
          <w:tcPr/>
          <w:p>
            <w:pPr>
              <w:pStyle w:val="kar_table_cell"/>
            </w:pPr>
            <w:r>
              <w:t xml:space="preserve">1.36</w:t>
            </w:r>
          </w:p>
        </w:tc>
      </w:tr>
      <w:tr>
        <w:tc>
          <w:tcPr>
            <w:gridSpan w:val="4"/>
          </w:tcPr>
          <w:p>
            <w:pPr>
              <w:pStyle w:val="kar_table_cell"/>
            </w:pPr>
            <w:r>
              <w:t xml:space="preserve">For guarantees not listed, calculate the appropriate value by interpolation.</w:t>
            </w:r>
          </w:p>
        </w:tc>
      </w:tr>
      <w:tr>
        <w:tc>
          <w:tcPr>
            <w:gridSpan w:val="4"/>
          </w:tcPr>
          <w:p>
            <w:pPr>
              <w:pStyle w:val="kar_table_cell"/>
            </w:pPr>
            <w:r>
              <w:t xml:space="preserve">*For these investigational allowances to be applicable, the procedures recommended by AOAC International for obtaining samples, preparation and analysis shall be used. These are described in the 15th Edition (1990) of the Official Methods of Analysis of the AOAC International. In evaluating replicate data, Table 19, page 935, Journal of the Association of Official Analytical Chemists, Volume 49, No. 5, October, 1966, shall be followed. </w:t>
            </w:r>
          </w:p>
        </w:tc>
      </w:tr>
    </w:tbl>
    <w:p>
      <w:pPr>
        <w:pStyle w:val="kar_section"/>
      </w:pPr>
      <w:r>
        <w:t xml:space="preserve">Section 2.</w:t>
      </w:r>
      <w:r>
        <w:t xml:space="preserve"> </w:t>
      </w:r>
      <w:r>
        <w:t xml:space="preserve">A fertilizer shall be deemed deficient in the overall index value if the overall index value is less than ninety-seven (97) percent.</w:t>
      </w:r>
    </w:p>
    <w:p>
      <w:pPr>
        <w:pStyle w:val="kar_subsection"/>
      </w:pPr>
      <w:r>
        <w:t xml:space="preserve">(1)</w:t>
      </w:r>
      <w:r>
        <w:t xml:space="preserve"> </w:t>
      </w:r>
      <w:r>
        <w:t xml:space="preserve">The overall index value shall be calculated by comparing the value guaranteed with the value found. Unit values of the nutrients used shall be those referred to in KRS 250.401.</w:t>
      </w:r>
    </w:p>
    <w:p>
      <w:pPr>
        <w:pStyle w:val="kar_subsection"/>
      </w:pPr>
      <w:r>
        <w:t xml:space="preserve">(2)</w:t>
      </w:r>
      <w:r>
        <w:t xml:space="preserve"> </w:t>
      </w:r>
      <w:r>
        <w:t xml:space="preserve">Overall index value. Example of calculation for a 10-10-10 grade found to contain ten and one-tenth (10.1) percent Total Nitrogen (N), ten and two-tenths (10.2) percent Available Phosphate (P</w:t>
      </w:r>
      <w:r>
        <w:rPr>
          <w:vertAlign w:val="subscript"/>
        </w:rPr>
        <w:t xml:space="preserve">2</w:t>
      </w:r>
      <w:r>
        <w:t xml:space="preserve">O</w:t>
      </w:r>
      <w:r>
        <w:rPr>
          <w:vertAlign w:val="subscript"/>
        </w:rPr>
        <w:t xml:space="preserve">5</w:t>
      </w:r>
      <w:r>
        <w:t xml:space="preserve">) and ten and one-tenth (10.1) percent Soluble Potash (K</w:t>
      </w:r>
      <w:r>
        <w:rPr>
          <w:vertAlign w:val="subscript"/>
        </w:rPr>
        <w:t xml:space="preserve">2</w:t>
      </w:r>
      <w:r>
        <w:t xml:space="preserve">O). Nutrient unit values shall be assumed to be three (3) dollars per unit N, two (2) dollars per unit (P</w:t>
      </w:r>
      <w:r>
        <w:rPr>
          <w:vertAlign w:val="subscript"/>
        </w:rPr>
        <w:t xml:space="preserve">2</w:t>
      </w:r>
      <w:r>
        <w:t xml:space="preserve">O</w:t>
      </w:r>
      <w:r>
        <w:rPr>
          <w:vertAlign w:val="subscript"/>
        </w:rPr>
        <w:t xml:space="preserve">5</w:t>
      </w:r>
      <w:r>
        <w:t xml:space="preserve">), and one (1) dollar per unit K</w:t>
      </w:r>
      <w:r>
        <w:rPr>
          <w:vertAlign w:val="subscript"/>
        </w:rPr>
        <w:t xml:space="preserve">2</w:t>
      </w:r>
      <w:r>
        <w:t xml:space="preserve">O.</w:t>
      </w:r>
    </w:p>
    <w:tbl>
      <w:tblPr>
        <w:tblStyle w:val="kar_table"/>
        <w:tblW w:w="0" w:type="auto"/>
      </w:tblPr>
      <w:tblGrid>
        <w:gridCol w:w="1"/>
        <w:gridCol w:w="1"/>
        <w:gridCol w:w="1"/>
      </w:tblGrid>
      <w:tr>
        <w:tc>
          <w:tcPr/>
          <w:p>
            <w:pPr>
              <w:pStyle w:val="kar_table_cell"/>
            </w:pPr>
            <w:r>
              <w:t xml:space="preserve">10.0 units N</w:t>
            </w:r>
          </w:p>
        </w:tc>
        <w:tc>
          <w:tcPr/>
          <w:p>
            <w:pPr>
              <w:pStyle w:val="kar_table_cell"/>
            </w:pPr>
            <w:r>
              <w:t xml:space="preserve">x3=</w:t>
            </w:r>
          </w:p>
        </w:tc>
        <w:tc>
          <w:tcPr/>
          <w:p>
            <w:pPr>
              <w:pStyle w:val="kar_table_cell"/>
            </w:pPr>
            <w:r>
              <w:t xml:space="preserve">10.0</w:t>
            </w:r>
          </w:p>
        </w:tc>
      </w:tr>
      <w:tr>
        <w:tc>
          <w:tcPr/>
          <w:p>
            <w:pPr>
              <w:pStyle w:val="kar_table_cell"/>
            </w:pPr>
            <w:r>
              <w:t xml:space="preserve">10.0 units P</w:t>
            </w:r>
            <w:r>
              <w:rPr>
                <w:vertAlign w:val="subscript"/>
              </w:rPr>
              <w:t xml:space="preserve">2</w:t>
            </w:r>
            <w:r>
              <w:t xml:space="preserve">O</w:t>
            </w:r>
            <w:r>
              <w:rPr>
                <w:vertAlign w:val="subscript"/>
              </w:rPr>
              <w:t xml:space="preserve">5</w:t>
            </w:r>
          </w:p>
        </w:tc>
        <w:tc>
          <w:tcPr/>
          <w:p>
            <w:pPr>
              <w:pStyle w:val="kar_table_cell"/>
            </w:pPr>
            <w:r>
              <w:t xml:space="preserve">x2=</w:t>
            </w:r>
          </w:p>
        </w:tc>
        <w:tc>
          <w:tcPr/>
          <w:p>
            <w:pPr>
              <w:pStyle w:val="kar_table_cell"/>
            </w:pPr>
            <w:r>
              <w:t xml:space="preserve">20.0</w:t>
            </w:r>
          </w:p>
        </w:tc>
      </w:tr>
      <w:tr>
        <w:tc>
          <w:tcPr/>
          <w:p>
            <w:pPr>
              <w:pStyle w:val="kar_table_cell"/>
            </w:pPr>
            <w:r>
              <w:t xml:space="preserve">10.0 units K</w:t>
            </w:r>
            <w:r>
              <w:rPr>
                <w:vertAlign w:val="subscript"/>
              </w:rPr>
              <w:t xml:space="preserve">2</w:t>
            </w:r>
            <w:r>
              <w:t xml:space="preserve">O</w:t>
            </w:r>
          </w:p>
        </w:tc>
        <w:tc>
          <w:tcPr/>
          <w:p>
            <w:pPr>
              <w:pStyle w:val="kar_table_cell"/>
            </w:pPr>
            <w:r>
              <w:t xml:space="preserve">x1=</w:t>
            </w:r>
          </w:p>
        </w:tc>
        <w:tc>
          <w:tcPr/>
          <w:p>
            <w:pPr>
              <w:pStyle w:val="kar_table_cell"/>
            </w:pPr>
            <w:r>
              <w:t xml:space="preserve">10.0</w:t>
            </w:r>
          </w:p>
        </w:tc>
      </w:tr>
      <w:tr>
        <w:tc>
          <w:tcPr/>
          <w:p>
            <w:pPr>
              <w:pStyle w:val="kar_table_cell"/>
            </w:pPr>
            <w:r>
              <w:t xml:space="preserve">Commercial Value Guaranteed = </w:t>
            </w:r>
          </w:p>
        </w:tc>
        <w:tc>
          <w:tcPr/>
          <w:p>
            <w:pPr>
              <w:pStyle w:val="kar_table_cell"/>
            </w:pPr>
          </w:p>
        </w:tc>
        <w:tc>
          <w:tcPr/>
          <w:p>
            <w:pPr>
              <w:pStyle w:val="kar_table_cell"/>
            </w:pPr>
            <w:r>
              <w:t xml:space="preserve">60.0</w:t>
            </w:r>
          </w:p>
        </w:tc>
      </w:tr>
      <w:tr>
        <w:tc>
          <w:tcPr/>
          <w:p>
            <w:pPr>
              <w:pStyle w:val="kar_table_cell"/>
            </w:pPr>
            <w:r>
              <w:t xml:space="preserve">10.0 units of N</w:t>
            </w:r>
          </w:p>
        </w:tc>
        <w:tc>
          <w:tcPr/>
          <w:p>
            <w:pPr>
              <w:pStyle w:val="kar_table_cell"/>
            </w:pPr>
            <w:r>
              <w:t xml:space="preserve">x3=</w:t>
            </w:r>
          </w:p>
        </w:tc>
        <w:tc>
          <w:tcPr/>
          <w:p>
            <w:pPr>
              <w:pStyle w:val="kar_table_cell"/>
            </w:pPr>
            <w:r>
              <w:t xml:space="preserve">30.3</w:t>
            </w:r>
          </w:p>
        </w:tc>
      </w:tr>
      <w:tr>
        <w:tc>
          <w:tcPr/>
          <w:p>
            <w:pPr>
              <w:pStyle w:val="kar_table_cell"/>
            </w:pPr>
            <w:r>
              <w:t xml:space="preserve">10.2 units of P</w:t>
            </w:r>
            <w:r>
              <w:rPr>
                <w:vertAlign w:val="subscript"/>
              </w:rPr>
              <w:t xml:space="preserve">2</w:t>
            </w:r>
            <w:r>
              <w:t xml:space="preserve">O</w:t>
            </w:r>
            <w:r>
              <w:rPr>
                <w:vertAlign w:val="subscript"/>
              </w:rPr>
              <w:t xml:space="preserve">5</w:t>
            </w:r>
          </w:p>
        </w:tc>
        <w:tc>
          <w:tcPr/>
          <w:p>
            <w:pPr>
              <w:pStyle w:val="kar_table_cell"/>
            </w:pPr>
            <w:r>
              <w:t xml:space="preserve">x2=</w:t>
            </w:r>
          </w:p>
        </w:tc>
        <w:tc>
          <w:tcPr/>
          <w:p>
            <w:pPr>
              <w:pStyle w:val="kar_table_cell"/>
            </w:pPr>
            <w:r>
              <w:t xml:space="preserve">20.4</w:t>
            </w:r>
          </w:p>
        </w:tc>
      </w:tr>
      <w:tr>
        <w:tc>
          <w:tcPr/>
          <w:p>
            <w:pPr>
              <w:pStyle w:val="kar_table_cell"/>
            </w:pPr>
            <w:r>
              <w:t xml:space="preserve">10.1 units K</w:t>
            </w:r>
            <w:r>
              <w:rPr>
                <w:vertAlign w:val="subscript"/>
              </w:rPr>
              <w:t xml:space="preserve">2</w:t>
            </w:r>
            <w:r>
              <w:t xml:space="preserve">O</w:t>
            </w:r>
          </w:p>
        </w:tc>
        <w:tc>
          <w:tcPr/>
          <w:p>
            <w:pPr>
              <w:pStyle w:val="kar_table_cell"/>
            </w:pPr>
            <w:r>
              <w:t xml:space="preserve">x1=</w:t>
            </w:r>
          </w:p>
        </w:tc>
        <w:tc>
          <w:tcPr/>
          <w:p>
            <w:pPr>
              <w:pStyle w:val="kar_table_cell"/>
            </w:pPr>
            <w:r>
              <w:t xml:space="preserve">10.1</w:t>
            </w:r>
          </w:p>
        </w:tc>
      </w:tr>
      <w:tr>
        <w:tc>
          <w:tcPr/>
          <w:p>
            <w:pPr>
              <w:pStyle w:val="kar_table_cell"/>
            </w:pPr>
            <w:r>
              <w:t xml:space="preserve">Commercial Value Found =</w:t>
            </w:r>
          </w:p>
        </w:tc>
        <w:tc>
          <w:tcPr/>
          <w:p>
            <w:pPr>
              <w:pStyle w:val="kar_table_cell"/>
            </w:pPr>
          </w:p>
        </w:tc>
        <w:tc>
          <w:tcPr/>
          <w:p>
            <w:pPr>
              <w:pStyle w:val="kar_table_cell"/>
            </w:pPr>
            <w:r>
              <w:t xml:space="preserve">60.8</w:t>
            </w:r>
          </w:p>
        </w:tc>
      </w:tr>
      <w:tr>
        <w:tc>
          <w:tcPr>
            <w:gridSpan w:val="3"/>
          </w:tcPr>
          <w:p>
            <w:pPr>
              <w:pStyle w:val="kar_table_cell"/>
            </w:pPr>
            <w:r>
              <w:t xml:space="preserve">Overall Index Value = 100(60.8/60.00) = 101.3%</w:t>
            </w:r>
          </w:p>
        </w:tc>
      </w:tr>
    </w:tbl>
    <w:p>
      <w:pPr>
        <w:pStyle w:val="kar_section"/>
      </w:pPr>
      <w:r>
        <w:t xml:space="preserve">Section 3.</w:t>
      </w:r>
      <w:r>
        <w:t xml:space="preserve"> </w:t>
      </w:r>
      <w:r>
        <w:t xml:space="preserve">Secondary and minor elements shall be deemed deficient if the analysis of an official sample for any of these elements is below the guarantee by an amount exceeding the values in the table established in this section.</w:t>
      </w:r>
    </w:p>
    <w:tbl>
      <w:tblPr>
        <w:tblStyle w:val="kar_table"/>
        <w:tblW w:w="0" w:type="auto"/>
      </w:tblPr>
      <w:tblGrid>
        <w:gridCol w:w="1"/>
        <w:gridCol w:w="1"/>
        <w:gridCol w:w="1"/>
      </w:tblGrid>
      <w:tr>
        <w:tc>
          <w:tcPr/>
          <w:p>
            <w:pPr>
              <w:pStyle w:val="kar_table_cell"/>
            </w:pPr>
            <w:r>
              <w:t xml:space="preserve">Element</w:t>
            </w:r>
          </w:p>
        </w:tc>
        <w:tc>
          <w:tcPr/>
          <w:p>
            <w:pPr>
              <w:pStyle w:val="kar_table_cell"/>
            </w:pPr>
          </w:p>
        </w:tc>
        <w:tc>
          <w:tcPr/>
          <w:p>
            <w:pPr>
              <w:pStyle w:val="kar_table_cell"/>
            </w:pPr>
            <w:r>
              <w:t xml:space="preserve">Investigational Allowance</w:t>
            </w:r>
          </w:p>
        </w:tc>
      </w:tr>
      <w:tr>
        <w:tc>
          <w:tcPr/>
          <w:p>
            <w:pPr>
              <w:pStyle w:val="kar_table_cell"/>
            </w:pPr>
            <w:r>
              <w:t xml:space="preserve">Calcium</w:t>
            </w:r>
          </w:p>
        </w:tc>
        <w:tc>
          <w:tcPr/>
          <w:p>
            <w:pPr>
              <w:pStyle w:val="kar_table_cell"/>
            </w:pPr>
            <w:r>
              <w:t xml:space="preserve">)</w:t>
            </w:r>
          </w:p>
        </w:tc>
        <w:tc>
          <w:tcPr/>
          <w:p>
            <w:pPr>
              <w:pStyle w:val="kar_table_cell"/>
            </w:pPr>
            <w:r>
              <w:t xml:space="preserve">0.2 unit + 5% of guarantee</w:t>
            </w:r>
          </w:p>
        </w:tc>
      </w:tr>
      <w:tr>
        <w:tc>
          <w:tcPr/>
          <w:p>
            <w:pPr>
              <w:pStyle w:val="kar_table_cell"/>
            </w:pPr>
            <w:r>
              <w:t xml:space="preserve">Magnesium</w:t>
            </w:r>
          </w:p>
        </w:tc>
        <w:tc>
          <w:tcPr/>
          <w:p>
            <w:pPr>
              <w:pStyle w:val="kar_table_cell"/>
            </w:pPr>
            <w:r>
              <w:t xml:space="preserve">)</w:t>
            </w:r>
          </w:p>
        </w:tc>
        <w:tc>
          <w:tcPr/>
          <w:p>
            <w:pPr>
              <w:pStyle w:val="kar_table_cell"/>
            </w:pPr>
            <w:r>
              <w:t xml:space="preserve">0.2 unit + 5% of guarantee</w:t>
            </w:r>
          </w:p>
        </w:tc>
      </w:tr>
      <w:tr>
        <w:tc>
          <w:tcPr/>
          <w:p>
            <w:pPr>
              <w:pStyle w:val="kar_table_cell"/>
            </w:pPr>
            <w:r>
              <w:t xml:space="preserve">Sulfur</w:t>
            </w:r>
          </w:p>
        </w:tc>
        <w:tc>
          <w:tcPr/>
          <w:p>
            <w:pPr>
              <w:pStyle w:val="kar_table_cell"/>
            </w:pPr>
            <w:r>
              <w:t xml:space="preserve">)</w:t>
            </w:r>
          </w:p>
        </w:tc>
        <w:tc>
          <w:tcPr/>
          <w:p>
            <w:pPr>
              <w:pStyle w:val="kar_table_cell"/>
            </w:pPr>
            <w:r>
              <w:t xml:space="preserve">0.2 unit + 5% of guarantee</w:t>
            </w:r>
          </w:p>
        </w:tc>
      </w:tr>
      <w:tr>
        <w:tc>
          <w:tcPr/>
          <w:p>
            <w:pPr>
              <w:pStyle w:val="kar_table_cell"/>
            </w:pPr>
            <w:r>
              <w:t xml:space="preserve">Boron</w:t>
            </w:r>
          </w:p>
        </w:tc>
        <w:tc>
          <w:tcPr/>
          <w:p>
            <w:pPr>
              <w:pStyle w:val="kar_table_cell"/>
            </w:pPr>
            <w:r>
              <w:t xml:space="preserve">)</w:t>
            </w:r>
          </w:p>
        </w:tc>
        <w:tc>
          <w:tcPr/>
          <w:p>
            <w:pPr>
              <w:pStyle w:val="kar_table_cell"/>
            </w:pPr>
            <w:r>
              <w:t xml:space="preserve">0.003 unit + 15% of guarantee</w:t>
            </w:r>
          </w:p>
        </w:tc>
      </w:tr>
      <w:tr>
        <w:tc>
          <w:tcPr/>
          <w:p>
            <w:pPr>
              <w:pStyle w:val="kar_table_cell"/>
            </w:pPr>
            <w:r>
              <w:t xml:space="preserve">Molybdenum</w:t>
            </w:r>
          </w:p>
        </w:tc>
        <w:tc>
          <w:tcPr/>
          <w:p>
            <w:pPr>
              <w:pStyle w:val="kar_table_cell"/>
            </w:pPr>
            <w:r>
              <w:t xml:space="preserve">)</w:t>
            </w:r>
          </w:p>
        </w:tc>
        <w:tc>
          <w:tcPr/>
          <w:p>
            <w:pPr>
              <w:pStyle w:val="kar_table_cell"/>
            </w:pPr>
            <w:r>
              <w:t xml:space="preserve">0.0001 unit + 30% of guarantee</w:t>
            </w:r>
          </w:p>
        </w:tc>
      </w:tr>
      <w:tr>
        <w:tc>
          <w:tcPr/>
          <w:p>
            <w:pPr>
              <w:pStyle w:val="kar_table_cell"/>
            </w:pPr>
            <w:r>
              <w:t xml:space="preserve">Chlorine</w:t>
            </w:r>
          </w:p>
        </w:tc>
        <w:tc>
          <w:tcPr/>
          <w:p>
            <w:pPr>
              <w:pStyle w:val="kar_table_cell"/>
            </w:pPr>
            <w:r>
              <w:t xml:space="preserve">)</w:t>
            </w:r>
          </w:p>
        </w:tc>
        <w:tc>
          <w:tcPr/>
          <w:p>
            <w:pPr>
              <w:pStyle w:val="kar_table_cell"/>
            </w:pPr>
            <w:r>
              <w:t xml:space="preserve">0.005 unit + 10% of guarantee</w:t>
            </w:r>
          </w:p>
        </w:tc>
      </w:tr>
      <w:tr>
        <w:tc>
          <w:tcPr/>
          <w:p>
            <w:pPr>
              <w:pStyle w:val="kar_table_cell"/>
            </w:pPr>
            <w:r>
              <w:t xml:space="preserve">Copper</w:t>
            </w:r>
          </w:p>
        </w:tc>
        <w:tc>
          <w:tcPr/>
          <w:p>
            <w:pPr>
              <w:pStyle w:val="kar_table_cell"/>
            </w:pPr>
            <w:r>
              <w:t xml:space="preserve">)</w:t>
            </w:r>
          </w:p>
        </w:tc>
        <w:tc>
          <w:tcPr/>
          <w:p>
            <w:pPr>
              <w:pStyle w:val="kar_table_cell"/>
            </w:pPr>
            <w:r>
              <w:t xml:space="preserve">0.005 unit + 10% of guarantee</w:t>
            </w:r>
          </w:p>
        </w:tc>
      </w:tr>
      <w:tr>
        <w:tc>
          <w:tcPr/>
          <w:p>
            <w:pPr>
              <w:pStyle w:val="kar_table_cell"/>
            </w:pPr>
            <w:r>
              <w:t xml:space="preserve">Iron</w:t>
            </w:r>
          </w:p>
        </w:tc>
        <w:tc>
          <w:tcPr/>
          <w:p>
            <w:pPr>
              <w:pStyle w:val="kar_table_cell"/>
            </w:pPr>
            <w:r>
              <w:t xml:space="preserve">)</w:t>
            </w:r>
          </w:p>
        </w:tc>
        <w:tc>
          <w:tcPr/>
          <w:p>
            <w:pPr>
              <w:pStyle w:val="kar_table_cell"/>
            </w:pPr>
            <w:r>
              <w:t xml:space="preserve">0.005 unit + 10% of guarantee</w:t>
            </w:r>
          </w:p>
        </w:tc>
      </w:tr>
      <w:tr>
        <w:tc>
          <w:tcPr/>
          <w:p>
            <w:pPr>
              <w:pStyle w:val="kar_table_cell"/>
            </w:pPr>
            <w:r>
              <w:t xml:space="preserve">Manganese</w:t>
            </w:r>
          </w:p>
        </w:tc>
        <w:tc>
          <w:tcPr/>
          <w:p>
            <w:pPr>
              <w:pStyle w:val="kar_table_cell"/>
            </w:pPr>
            <w:r>
              <w:t xml:space="preserve">)</w:t>
            </w:r>
          </w:p>
        </w:tc>
        <w:tc>
          <w:tcPr/>
          <w:p>
            <w:pPr>
              <w:pStyle w:val="kar_table_cell"/>
            </w:pPr>
            <w:r>
              <w:t xml:space="preserve">0.005 unit + 10% of guarantee</w:t>
            </w:r>
          </w:p>
        </w:tc>
      </w:tr>
      <w:tr>
        <w:tc>
          <w:tcPr/>
          <w:p>
            <w:pPr>
              <w:pStyle w:val="kar_table_cell"/>
            </w:pPr>
            <w:r>
              <w:t xml:space="preserve">Sodium</w:t>
            </w:r>
          </w:p>
        </w:tc>
        <w:tc>
          <w:tcPr/>
          <w:p>
            <w:pPr>
              <w:pStyle w:val="kar_table_cell"/>
            </w:pPr>
            <w:r>
              <w:t xml:space="preserve">)</w:t>
            </w:r>
          </w:p>
        </w:tc>
        <w:tc>
          <w:tcPr/>
          <w:p>
            <w:pPr>
              <w:pStyle w:val="kar_table_cell"/>
            </w:pPr>
            <w:r>
              <w:t xml:space="preserve">0.005 unit + 10% of guarantee</w:t>
            </w:r>
          </w:p>
        </w:tc>
      </w:tr>
      <w:tr>
        <w:tc>
          <w:tcPr/>
          <w:p>
            <w:pPr>
              <w:pStyle w:val="kar_table_cell"/>
            </w:pPr>
            <w:r>
              <w:t xml:space="preserve">Zinc</w:t>
            </w:r>
          </w:p>
        </w:tc>
        <w:tc>
          <w:tcPr/>
          <w:p>
            <w:pPr>
              <w:pStyle w:val="kar_table_cell"/>
            </w:pPr>
            <w:r>
              <w:t xml:space="preserve">)</w:t>
            </w:r>
          </w:p>
        </w:tc>
        <w:tc>
          <w:tcPr/>
          <w:p>
            <w:pPr>
              <w:pStyle w:val="kar_table_cell"/>
            </w:pPr>
            <w:r>
              <w:t xml:space="preserve">0.005 unit + 10% of guarantee</w:t>
            </w:r>
          </w:p>
        </w:tc>
      </w:tr>
      <w:tr>
        <w:tc>
          <w:tcPr>
            <w:gridSpan w:val="3"/>
          </w:tcPr>
          <w:p>
            <w:pPr>
              <w:pStyle w:val="kar_table_cell"/>
            </w:pPr>
            <w:r>
              <w:t xml:space="preserve">The maximum allowance calculated in accordance with this table shall be one (1) unit (1 percent).</w:t>
            </w:r>
          </w:p>
        </w:tc>
      </w:tr>
    </w:tbl>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"15th Edition (1990) of the Official Methods of Analysis of the AOAC International", 1990; and</w:t>
      </w:r>
    </w:p>
    <w:p>
      <w:pPr>
        <w:pStyle w:val="kar_paragraph"/>
      </w:pPr>
      <w:r>
        <w:t xml:space="preserve">(b)</w:t>
      </w:r>
      <w:r>
        <w:t xml:space="preserve"> </w:t>
      </w:r>
      <w:r>
        <w:t xml:space="preserve">"Table 19, page 935, Journal of the Association of Official Analytical Chemists, Volume 49, No. 5", October, 1966</w:t>
      </w:r>
    </w:p>
    <w:p>
      <w:pPr>
        <w:pStyle w:val="kar_subsection"/>
      </w:pPr>
      <w:r>
        <w:t xml:space="preserve">(2)</w:t>
      </w:r>
      <w:r>
        <w:t xml:space="preserve"> </w:t>
      </w:r>
      <w:r>
        <w:t xml:space="preserve">This material may be inspected, copied, or obtained, subject to applicable copyright law, at the Division of Regulatory Services, University of Kentucky, 103 Regulatory Services Building, Lexington, Kentucky 40546-0275, Monday through Friday, 8 a.m. to 4:30 p.m.</w:t>
      </w:r>
    </w:p>
    <w:p>
      <w:pPr>
        <w:pStyle w:val="kar_history"/>
      </w:pPr>
      <w:r>
        <w:t xml:space="preserve">(11 Ky.R. 512; eff. 11-13-1984; Am. 21 Ky.R. 457; 1027; eff. 9-28-1994; 114, 935; eff. 11-18-2020.)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de28e74c3740b8" /><Relationship Type="http://schemas.openxmlformats.org/officeDocument/2006/relationships/settings" Target="/word/settings.xml" Id="R5ef33c924985472b" /></Relationships>
</file>