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1b213e0fd4e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1:110.</w:t>
      </w:r>
      <w:r>
        <w:t xml:space="preserve"> </w:t>
      </w:r>
      <w:r>
        <w:t xml:space="preserve">Prohibition on raising or hatching fish in public waters.</w:t>
      </w:r>
    </w:p>
    <w:p>
      <w:pPr>
        <w:pStyle w:val="kar_markup_metadata"/>
      </w:pPr>
      <w:r>
        <w:t xml:space="preserve">RELATES TO: </w:t>
      </w:r>
      <w:r>
        <w:t xml:space="preserve">KRS 150.025, 150.180(2)(7), 150.280</w:t>
      </w:r>
    </w:p>
    <w:p>
      <w:pPr>
        <w:pStyle w:val="kar_markup_metadata"/>
      </w:pPr>
      <w:r>
        <w:t xml:space="preserve">STATUTORY AUTHORITY: </w:t>
      </w:r>
      <w:r>
        <w:t xml:space="preserve">KRS 150.025, 150.280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The purpose of this administrative regulation is to prohibit the raising or hatching of fish in public waters. It is necessary in order to protect the fish population.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 person or organization shall not use public waters to raise or hatch fish or aquatic organisms for private or commercial purposes except as specified in Section 2 of this administrative regulation. This includes cage culture of fishes.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commissioner may grant approval and issue a permit for paddlefish to be stocked and reared in approved water supply lakes for aquaculture purposes pursuant to 301 KAR 1:115, Section 6.</w:t>
      </w:r>
    </w:p>
    <w:p>
      <w:pPr>
        <w:pStyle w:val="kar_history"/>
      </w:pPr>
      <w:r>
        <w:t xml:space="preserve">(KFWR-F-147; 1 Ky.R. 64; eff. 11-13-1974; 32 Ky.R. 2083; 33 Ky.R. 86; eff. 7-12-2006; Crt eff. 11-8-2019.)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7a6a7567714573" /><Relationship Type="http://schemas.openxmlformats.org/officeDocument/2006/relationships/settings" Target="/word/settings.xml" Id="R2724f3f1a80b448f" /></Relationships>
</file>