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2f74659ffa4eb4"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CERTIFICATION STATEMENT: </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businesses or governmental agencies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appropriate agent agreement; and</w:t>
      </w:r>
    </w:p>
    <w:p>
      <w:pPr>
        <w:pStyle w:val="kar_paragraph"/>
      </w:pPr>
      <w:r>
        <w:t xml:space="preserve">(c)</w:t>
      </w:r>
      <w:r>
        <w:t xml:space="preserve"> </w:t>
      </w:r>
      <w:r>
        <w:t xml:space="preserve">Complete an Electronic Funds Transfer Request Form that authorizes the department to make electronic fund transfers from a bank account into which the agent shall deposit the proceeds from transactions.</w:t>
      </w:r>
    </w:p>
    <w:p>
      <w:pPr>
        <w:pStyle w:val="kar_subsection"/>
      </w:pPr>
      <w:r>
        <w:t xml:space="preserve">(2)</w:t>
      </w:r>
      <w:r>
        <w:t xml:space="preserve"> </w:t>
      </w:r>
      <w:r>
        <w:t xml:space="preserve">State agencies serving as license agents shall remit payment through the state accounting system.</w:t>
      </w:r>
    </w:p>
    <w:p>
      <w:pPr>
        <w:pStyle w:val="kar_subsection"/>
      </w:pPr>
      <w:r>
        <w:t xml:space="preserve">(3)</w:t>
      </w:r>
      <w:r>
        <w:t xml:space="preserve"> </w:t>
      </w:r>
      <w:r>
        <w:t xml:space="preserve">The department shall appoint as agents businesses that have:</w:t>
      </w:r>
    </w:p>
    <w:p>
      <w:pPr>
        <w:pStyle w:val="kar_paragraph"/>
      </w:pPr>
      <w:r>
        <w:t xml:space="preserve">(a)</w:t>
      </w:r>
      <w:r>
        <w:t xml:space="preserve"> </w:t>
      </w:r>
      <w:r>
        <w:t xml:space="preserve">A valid federal identification number;</w:t>
      </w:r>
    </w:p>
    <w:p>
      <w:pPr>
        <w:pStyle w:val="kar_paragraph"/>
      </w:pPr>
      <w:r>
        <w:t xml:space="preserve">(b)</w:t>
      </w:r>
      <w:r>
        <w:t xml:space="preserve"> </w:t>
      </w:r>
      <w:r>
        <w:t xml:space="preserve">Except for out-of-state agents, a Kentucky sales tax number; and</w:t>
      </w:r>
    </w:p>
    <w:p>
      <w:pPr>
        <w:pStyle w:val="kar_paragraph"/>
      </w:pPr>
      <w:r>
        <w:t xml:space="preserve">(c)</w:t>
      </w:r>
      <w:r>
        <w:t xml:space="preserve"> </w:t>
      </w:r>
      <w:r>
        <w:t xml:space="preserve">For out-of-state agents, businesses that post a surety bond of $5,000.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1995;</w:t>
      </w:r>
    </w:p>
    <w:p>
      <w:pPr>
        <w:pStyle w:val="kar_paragraph"/>
      </w:pPr>
      <w:r>
        <w:t xml:space="preserve">(b)</w:t>
      </w:r>
      <w:r>
        <w:t xml:space="preserve"> </w:t>
      </w:r>
      <w:r>
        <w:t xml:space="preserve">Electronic Fund Transfer Authorization Form, 1995;</w:t>
      </w:r>
    </w:p>
    <w:p>
      <w:pPr>
        <w:pStyle w:val="kar_paragraph"/>
      </w:pPr>
      <w:r>
        <w:t xml:space="preserve">(c)</w:t>
      </w:r>
      <w:r>
        <w:t xml:space="preserve"> </w:t>
      </w:r>
      <w:r>
        <w:t xml:space="preserve">License Agent Contractual Agreement, 2018 edition; and</w:t>
      </w:r>
    </w:p>
    <w:p>
      <w:pPr>
        <w:pStyle w:val="kar_paragraph"/>
      </w:pPr>
      <w:r>
        <w:t xml:space="preserve">(d)</w:t>
      </w:r>
      <w:r>
        <w:t xml:space="preserve"> </w:t>
      </w:r>
      <w:r>
        <w:t xml:space="preserve">Governmental License Agent Contractual Agreement, 2018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pPr>
      <w:r>
        <w:t xml:space="preserve">(22 Ky.R. 1177; Am. 1457; eff. 2-12-1996; 26 Ky.R. 2024; 27 Ky.R. 79; eff. 7-17-2000; 30 Ky.R. 2343; eff. 7-14-2004; 44 Ky.R. 1393, 1822; eff. 3-9-2018.)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a271c51e7418b" /><Relationship Type="http://schemas.openxmlformats.org/officeDocument/2006/relationships/settings" Target="/word/settings.xml" Id="Rb19c67d72fe443cd" /></Relationships>
</file>