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b0df2ea5d4b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6:060.</w:t>
      </w:r>
      <w:r>
        <w:t xml:space="preserve"> </w:t>
      </w:r>
      <w:r>
        <w:t xml:space="preserve">Safe boating certification.</w:t>
      </w:r>
    </w:p>
    <w:p>
      <w:pPr>
        <w:pStyle w:val="kar_markup_metadata"/>
      </w:pPr>
      <w:r>
        <w:t xml:space="preserve">RELATES TO: </w:t>
      </w:r>
      <w:r>
        <w:t xml:space="preserve">KRS 235.285(7)</w:t>
      </w:r>
    </w:p>
    <w:p>
      <w:pPr>
        <w:pStyle w:val="kar_markup_metadata"/>
      </w:pPr>
      <w:r>
        <w:t xml:space="preserve">STATUTORY AUTHORITY: </w:t>
      </w:r>
      <w:r>
        <w:t xml:space="preserve">KRS 235.280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235.280 authorizes the department to promulgate administrative regulations to establish procedures for the reasonable, safe and equitable use of all waters of Kentucky. KRS 235.285(7) requires that a person twelve (12) through seventeen (17) years of age operating a personal watercraft or motorboat over ten (10) horsepower possess a safe boating certificate. This administrative regulation establishes the procedures for acquiring a safe boating certificate.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Safe Boating Certificate Card.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obtain a safe boating certificate card, a person shall answer correctly at least eighty (80) percent of the questions on the Kentucky Certification Exam.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There shall be a five (5) dollar replacement fee for safe boating certification cards.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person may waive the examination requirements of subsection (1) of this section if he or she submits to the department certification showing that he or she has completed a National Association of State Boating Law Administrators approved course.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Safe Boating Course. (1) The safe boating course may be taken by: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Classroom instruction provided by a department employee or department volunteer;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Self-study using the "Kentucky Boating Safety Manual". A person may request a copy of the "Kentucky Boating Safety Manual" by calling 1-800-858-1549; or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self-study program on the Internet.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Safe Boating Guidelines.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Safe boating guidelines are established in the "Kentucky Boating Safety Manual".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Boaters using Kentucky's waters shall abide by the guidelines established in the "Kentucky Boating Safety Manual".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"Kentucky Boating Safety Manual", 2003 edition;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"Safe Boating Examination", 2003 edition.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 or obtained, subject to applicable copyright law, at the Department of Fish and Wildlife Resources, #1 Game Farm Road, Frankfort, Kentucky 40601, Monday through Friday, 8 a.m. until 4:30 p.m.</w:t>
      </w:r>
    </w:p>
    <w:p>
      <w:pPr>
        <w:pStyle w:val="kar_history"/>
      </w:pPr>
      <w:r>
        <w:t xml:space="preserve">(25 Ky.R. 2711; Am. 26 Ky.R. 48; eff. 7-14-99; 28 Ky.R. 2058; eff. 5-16-2002; 30 Ky.R. 414; eff. 10-31-03; Crt eff. 2-5-2020.)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cb78228cb4f40" /><Relationship Type="http://schemas.openxmlformats.org/officeDocument/2006/relationships/settings" Target="/word/settings.xml" Id="Rb4ca7f3cfef24c61" /></Relationships>
</file>