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cb1b68a0f74d4d" /></Relationships>
</file>

<file path=word/document.xml><?xml version="1.0" encoding="utf-8"?>
<w:document xmlns:w="http://schemas.openxmlformats.org/wordprocessingml/2006/main">
  <w:body>
    <w:p>
      <w:pPr>
        <w:pStyle w:val="kar_citation"/>
      </w:pPr>
      <w:r>
        <w:t>401 KAR 59:240.</w:t>
      </w:r>
      <w:r>
        <w:t xml:space="preserve"> </w:t>
      </w:r>
      <w:r>
        <w:t xml:space="preserve">New perchloroethylene dry cleaning systems.</w:t>
      </w:r>
    </w:p>
    <w:p>
      <w:pPr>
        <w:pStyle w:val="kar_markup_metadata"/>
      </w:pPr>
      <w:r>
        <w:t xml:space="preserve">RELATES TO: </w:t>
      </w:r>
      <w:r>
        <w:t xml:space="preserve">KRS 224.20-100, 224.20-110, 224.20-120, 42 U.S.C. 7401 et seq., 7407, 7408, 7410</w:t>
      </w:r>
    </w:p>
    <w:p>
      <w:pPr>
        <w:pStyle w:val="kar_markup_metadata"/>
      </w:pPr>
      <w:r>
        <w:t xml:space="preserve">STATUTORY AUTHORITY: </w:t>
      </w:r>
      <w:r>
        <w:t xml:space="preserve">KRS 224.10-100</w:t>
      </w:r>
    </w:p>
    <w:p>
      <w:pPr>
        <w:pStyle w:val="kar_markup_metadata"/>
      </w:pPr>
      <w:r>
        <w:t xml:space="preserve">CERTIFICATION STATEMENT: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new perchloroethylene dry cleaning systems.</w:t>
      </w:r>
    </w:p>
    <w:p>
      <w:pPr>
        <w:pStyle w:val="kar_section"/>
      </w:pPr>
      <w:r>
        <w:t xml:space="preserve">Section 1.</w:t>
      </w:r>
      <w:r>
        <w:t xml:space="preserve"> </w:t>
      </w:r>
      <w:r>
        <w:t xml:space="preserve">Definitions. As used in this administrative regulation, all terms not defined in this section shall have the meaning given to them in 401 KAR 59:001.</w:t>
      </w:r>
    </w:p>
    <w:p>
      <w:pPr>
        <w:pStyle w:val="kar_subsection"/>
      </w:pPr>
      <w:r>
        <w:t xml:space="preserve">(1)</w:t>
      </w:r>
      <w:r>
        <w:t xml:space="preserve"> </w:t>
      </w:r>
      <w:r>
        <w:t xml:space="preserve">"Affected facility" means a dry cleaning system which uses perchloroethylene.</w:t>
      </w:r>
    </w:p>
    <w:p>
      <w:pPr>
        <w:pStyle w:val="kar_subsection"/>
      </w:pPr>
      <w:r>
        <w:t xml:space="preserve">(2)</w:t>
      </w:r>
      <w:r>
        <w:t xml:space="preserve"> </w:t>
      </w:r>
      <w:r>
        <w:t xml:space="preserve">"Dry cleaning system" means a series of equipment or operations which includes, but is not limited to washer, dryer, filter and purification systems, waste disposal systems, holding tanks, pumps, and attendant piping and valves used for the purpose of commercial cleaning of fabrics.</w:t>
      </w:r>
    </w:p>
    <w:p>
      <w:pPr>
        <w:pStyle w:val="kar_subsection"/>
      </w:pPr>
      <w:r>
        <w:t xml:space="preserve">(3)</w:t>
      </w:r>
      <w:r>
        <w:t xml:space="preserve"> </w:t>
      </w:r>
      <w:r>
        <w:t xml:space="preserve">"Classification date" means February 4, 1981.</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w:t>
      </w:r>
    </w:p>
    <w:p>
      <w:pPr>
        <w:pStyle w:val="kar_paragraph"/>
      </w:pPr>
      <w:r>
        <w:t xml:space="preserve">(a)</w:t>
      </w:r>
      <w:r>
        <w:t xml:space="preserve"> </w:t>
      </w:r>
      <w:r>
        <w:t xml:space="preserve">Each affected facility commenced on or after the classification date defined in Section 1 of this administrative regulation and located in a county or portion of a county designated as nonattainment for ozone in 401 KAR 51:010, for any classification except marginal; and</w:t>
      </w:r>
    </w:p>
    <w:p>
      <w:pPr>
        <w:pStyle w:val="kar_paragraph"/>
      </w:pPr>
      <w:r>
        <w:t xml:space="preserve">(b)</w:t>
      </w:r>
      <w:r>
        <w:t xml:space="preserve"> </w:t>
      </w:r>
      <w:r>
        <w:t xml:space="preserve">Each affected facility commenced on or after June 24, 1992 which is part of a major source located in a county or portion of a county designated attainment or marginal nonattainment for ozone in 401 KAR 51:010.</w:t>
      </w:r>
    </w:p>
    <w:p>
      <w:pPr>
        <w:pStyle w:val="kar_subsection"/>
      </w:pPr>
      <w:r>
        <w:t xml:space="preserve">(2)</w:t>
      </w:r>
      <w:r>
        <w:t xml:space="preserve"> </w:t>
      </w:r>
      <w:r>
        <w:t xml:space="preserve">Each affected facility commenced on or after the classification date defined in Section 1 of this administrative regulation but prior to June 24, 1992 which is part of a major source located in a county or portion of a county designated attainment or marginally nonattainment for ozone in 401 KAR 51:010 shall be exempt from this administrative regulation except that control devices and procedures required at the time it commenced shall continue to be operated and maintained.</w:t>
      </w:r>
    </w:p>
    <w:p>
      <w:pPr>
        <w:pStyle w:val="kar_section"/>
      </w:pPr>
      <w:r>
        <w:t xml:space="preserve">Section 3.</w:t>
      </w:r>
      <w:r>
        <w:t xml:space="preserve"> </w:t>
      </w:r>
      <w:r>
        <w:t xml:space="preserve">Standard for VOCs. The owner or operator of an affected facility shall install, maintain and operate the control equipment such that the following requirements are met:</w:t>
      </w:r>
    </w:p>
    <w:p>
      <w:pPr>
        <w:pStyle w:val="kar_subsection"/>
      </w:pPr>
      <w:r>
        <w:t xml:space="preserve">(1)</w:t>
      </w:r>
      <w:r>
        <w:t xml:space="preserve"> </w:t>
      </w:r>
      <w:r>
        <w:t xml:space="preserve">There shall be no liquid leakage of organic solvents from the system.</w:t>
      </w:r>
    </w:p>
    <w:p>
      <w:pPr>
        <w:pStyle w:val="kar_subsection"/>
      </w:pPr>
      <w:r>
        <w:t xml:space="preserve">(2)</w:t>
      </w:r>
      <w:r>
        <w:t xml:space="preserve"> </w:t>
      </w:r>
      <w:r>
        <w:t xml:space="preserve">The entire dryer exhaust shall be vented through a properly functioning carbon adsorber or equally effective control device.</w:t>
      </w:r>
    </w:p>
    <w:p>
      <w:pPr>
        <w:pStyle w:val="kar_subsection"/>
      </w:pPr>
      <w:r>
        <w:t xml:space="preserve">(3)</w:t>
      </w:r>
      <w:r>
        <w:t xml:space="preserve"> </w:t>
      </w:r>
      <w:r>
        <w:t xml:space="preserve">The maximum organic solvent concentration in the vent from the dryer control device shall not exceed 100 ppm before dilution.</w:t>
      </w:r>
    </w:p>
    <w:p>
      <w:pPr>
        <w:pStyle w:val="kar_subsection"/>
      </w:pPr>
      <w:r>
        <w:t xml:space="preserve">(4)</w:t>
      </w:r>
      <w:r>
        <w:t xml:space="preserve"> </w:t>
      </w:r>
      <w:r>
        <w:t xml:space="preserve">Filter and distillation wastes.</w:t>
      </w:r>
    </w:p>
    <w:p>
      <w:pPr>
        <w:pStyle w:val="kar_paragraph"/>
      </w:pPr>
      <w:r>
        <w:t xml:space="preserve">(a)</w:t>
      </w:r>
      <w:r>
        <w:t xml:space="preserve"> </w:t>
      </w:r>
      <w:r>
        <w:t xml:space="preserve">The residue from a diatomaceous earth filter shall be cooked or treated so that wastes shall not contain more than twenty-five (25) kg of solvent per 100 kg of wet waste material.</w:t>
      </w:r>
    </w:p>
    <w:p>
      <w:pPr>
        <w:pStyle w:val="kar_paragraph"/>
      </w:pPr>
      <w:r>
        <w:t xml:space="preserve">(b)</w:t>
      </w:r>
      <w:r>
        <w:t xml:space="preserve"> </w:t>
      </w:r>
      <w:r>
        <w:t xml:space="preserve">The residue from a solvent still shall not contain more than sixty (60) kg of solvent per 100 kg of wet waste material.</w:t>
      </w:r>
    </w:p>
    <w:p>
      <w:pPr>
        <w:pStyle w:val="kar_paragraph"/>
      </w:pPr>
      <w:r>
        <w:t xml:space="preserve">(c)</w:t>
      </w:r>
      <w:r>
        <w:t xml:space="preserve"> </w:t>
      </w:r>
      <w:r>
        <w:t xml:space="preserve">Filtration cartridges shall be drained in the filter housing for at least twenty-four (24) hours before being discarded. The drained cartridges shall be dried in the dryer tumbler after draining.</w:t>
      </w:r>
    </w:p>
    <w:p>
      <w:pPr>
        <w:pStyle w:val="kar_paragraph"/>
      </w:pPr>
      <w:r>
        <w:t xml:space="preserve">(d)</w:t>
      </w:r>
      <w:r>
        <w:t xml:space="preserve"> </w:t>
      </w:r>
      <w:r>
        <w:t xml:space="preserve">Any other filtration or distillation system may be used if equivalency to these requirements is demonstrated. A system reducing waste losses below one (1) kg solvent per 100 kg clothes cleaned shall be considered equivalent.</w:t>
      </w:r>
    </w:p>
    <w:p>
      <w:pPr>
        <w:pStyle w:val="kar_section"/>
      </w:pPr>
      <w:r>
        <w:t xml:space="preserve">Section 4.</w:t>
      </w:r>
      <w:r>
        <w:t xml:space="preserve"> </w:t>
      </w:r>
      <w:r>
        <w:t xml:space="preserve">Compliance.</w:t>
      </w:r>
    </w:p>
    <w:p>
      <w:pPr>
        <w:pStyle w:val="kar_subsection"/>
      </w:pPr>
      <w:r>
        <w:t xml:space="preserve">(1)</w:t>
      </w:r>
      <w:r>
        <w:t xml:space="preserve"> </w:t>
      </w:r>
      <w:r>
        <w:t xml:space="preserve">Liquid leakage shall be determined by visual inspection of the following sources:</w:t>
      </w:r>
    </w:p>
    <w:p>
      <w:pPr>
        <w:pStyle w:val="kar_paragraph"/>
      </w:pPr>
      <w:r>
        <w:t xml:space="preserve">(a)</w:t>
      </w:r>
      <w:r>
        <w:t xml:space="preserve"> </w:t>
      </w:r>
      <w:r>
        <w:t xml:space="preserve">Hose connections, unions, couplings and valves;</w:t>
      </w:r>
    </w:p>
    <w:p>
      <w:pPr>
        <w:pStyle w:val="kar_paragraph"/>
      </w:pPr>
      <w:r>
        <w:t xml:space="preserve">(b)</w:t>
      </w:r>
      <w:r>
        <w:t xml:space="preserve"> </w:t>
      </w:r>
      <w:r>
        <w:t xml:space="preserve">Machine door gasket and seating;</w:t>
      </w:r>
    </w:p>
    <w:p>
      <w:pPr>
        <w:pStyle w:val="kar_paragraph"/>
      </w:pPr>
      <w:r>
        <w:t xml:space="preserve">(c)</w:t>
      </w:r>
      <w:r>
        <w:t xml:space="preserve"> </w:t>
      </w:r>
      <w:r>
        <w:t xml:space="preserve">Filter head gasket and seating;</w:t>
      </w:r>
    </w:p>
    <w:p>
      <w:pPr>
        <w:pStyle w:val="kar_paragraph"/>
      </w:pPr>
      <w:r>
        <w:t xml:space="preserve">(d)</w:t>
      </w:r>
      <w:r>
        <w:t xml:space="preserve"> </w:t>
      </w:r>
      <w:r>
        <w:t xml:space="preserve">Pumps;</w:t>
      </w:r>
    </w:p>
    <w:p>
      <w:pPr>
        <w:pStyle w:val="kar_paragraph"/>
      </w:pPr>
      <w:r>
        <w:t xml:space="preserve">(e)</w:t>
      </w:r>
      <w:r>
        <w:t xml:space="preserve"> </w:t>
      </w:r>
      <w:r>
        <w:t xml:space="preserve">Base tanks and storage containers;</w:t>
      </w:r>
    </w:p>
    <w:p>
      <w:pPr>
        <w:pStyle w:val="kar_paragraph"/>
      </w:pPr>
      <w:r>
        <w:t xml:space="preserve">(f)</w:t>
      </w:r>
      <w:r>
        <w:t xml:space="preserve"> </w:t>
      </w:r>
      <w:r>
        <w:t xml:space="preserve">Water separators;</w:t>
      </w:r>
    </w:p>
    <w:p>
      <w:pPr>
        <w:pStyle w:val="kar_paragraph"/>
      </w:pPr>
      <w:r>
        <w:t xml:space="preserve">(g)</w:t>
      </w:r>
      <w:r>
        <w:t xml:space="preserve"> </w:t>
      </w:r>
      <w:r>
        <w:t xml:space="preserve">Filter sludge recovery operations;</w:t>
      </w:r>
    </w:p>
    <w:p>
      <w:pPr>
        <w:pStyle w:val="kar_paragraph"/>
      </w:pPr>
      <w:r>
        <w:t xml:space="preserve">(h)</w:t>
      </w:r>
      <w:r>
        <w:t xml:space="preserve"> </w:t>
      </w:r>
      <w:r>
        <w:t xml:space="preserve">Distillation units;</w:t>
      </w:r>
    </w:p>
    <w:p>
      <w:pPr>
        <w:pStyle w:val="kar_paragraph"/>
      </w:pPr>
      <w:r>
        <w:t xml:space="preserve">(i)</w:t>
      </w:r>
      <w:r>
        <w:t xml:space="preserve"> </w:t>
      </w:r>
      <w:r>
        <w:t xml:space="preserve">Diverter valves;</w:t>
      </w:r>
    </w:p>
    <w:p>
      <w:pPr>
        <w:pStyle w:val="kar_paragraph"/>
      </w:pPr>
      <w:r>
        <w:t xml:space="preserve">(j)</w:t>
      </w:r>
      <w:r>
        <w:t xml:space="preserve"> </w:t>
      </w:r>
      <w:r>
        <w:t xml:space="preserve">Saturated line from lint basket; and</w:t>
      </w:r>
    </w:p>
    <w:p>
      <w:pPr>
        <w:pStyle w:val="kar_paragraph"/>
      </w:pPr>
      <w:r>
        <w:t xml:space="preserve">(k)</w:t>
      </w:r>
      <w:r>
        <w:t xml:space="preserve"> </w:t>
      </w:r>
      <w:r>
        <w:t xml:space="preserve">Cartridge filters.</w:t>
      </w:r>
    </w:p>
    <w:p>
      <w:pPr>
        <w:pStyle w:val="kar_subsection"/>
      </w:pPr>
      <w:r>
        <w:t xml:space="preserve">(2)</w:t>
      </w:r>
      <w:r>
        <w:t xml:space="preserve"> </w:t>
      </w:r>
      <w:r>
        <w:t xml:space="preserve">Dryer exhaust concentration shall be determined by the proper installation, operation, and maintenance of approved equipment as determined by the cabinet or by performance tests specified by the cabinet.</w:t>
      </w:r>
    </w:p>
    <w:p>
      <w:pPr>
        <w:pStyle w:val="kar_subsection"/>
      </w:pPr>
      <w:r>
        <w:t xml:space="preserve">(3)</w:t>
      </w:r>
      <w:r>
        <w:t xml:space="preserve"> </w:t>
      </w:r>
      <w:r>
        <w:t xml:space="preserve">The amount of solvent in filter and distillation wastes shall be determined by ASTM D 322-67(77), and substituting collector C from ASTM E 123-78. ASTM methods have been incorporated by reference in 401 KAR 50:015.</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upon start-up.</w:t>
      </w:r>
    </w:p>
    <w:p>
      <w:pPr>
        <w:pStyle w:val="kar_subsection"/>
      </w:pPr>
      <w:r>
        <w:t xml:space="preserve">(2)</w:t>
      </w:r>
      <w:r>
        <w:t xml:space="preserve"> </w:t>
      </w:r>
      <w:r>
        <w:t xml:space="preserve">The owner or operator of an affected facility that, on or after June 24, 1992, becomes subject to this administrative regulation for a reason other than construction, modification, or reconstruction shall be required to complete the following:</w:t>
      </w:r>
    </w:p>
    <w:p>
      <w:pPr>
        <w:pStyle w:val="kar_paragraph"/>
      </w:pPr>
      <w:r>
        <w:t xml:space="preserve">(a)</w:t>
      </w:r>
      <w:r>
        <w:t xml:space="preserve"> </w:t>
      </w:r>
      <w:r>
        <w:t xml:space="preserve">Submit a final control plan for achieving compliance with this administrative regulation no later than three (3) months after the date the affected facility becomes subject to this administrative regulation.</w:t>
      </w:r>
    </w:p>
    <w:p>
      <w:pPr>
        <w:pStyle w:val="kar_paragraph"/>
      </w:pPr>
      <w:r>
        <w:t xml:space="preserve">(b)</w:t>
      </w:r>
      <w:r>
        <w:t xml:space="preserve"> </w:t>
      </w:r>
      <w:r>
        <w:t xml:space="preserve">Award the control system contract no later than five (5) months after the date the affected facility becomes subject to this administrative regulation.</w:t>
      </w:r>
    </w:p>
    <w:p>
      <w:pPr>
        <w:pStyle w:val="kar_paragraph"/>
      </w:pPr>
      <w:r>
        <w:t xml:space="preserve">(c)</w:t>
      </w:r>
      <w:r>
        <w:t xml:space="preserve"> </w:t>
      </w:r>
      <w:r>
        <w:t xml:space="preserve">Initiate on-site construction or installation of emission control equipment no later than seven (7)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shall be completed no later than eleven (11) months after the date the affected facility becomes subject to this administrative regulation.</w:t>
      </w:r>
    </w:p>
    <w:p>
      <w:pPr>
        <w:pStyle w:val="kar_paragraph"/>
      </w:pPr>
      <w:r>
        <w:t xml:space="preserve">(e)</w:t>
      </w:r>
      <w:r>
        <w:t xml:space="preserve"> </w:t>
      </w:r>
      <w:r>
        <w:t xml:space="preserve">Final compliance shall be achieved no later than twelve (12)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 Perchloroethylene dry cleaning facilities which are coin-operated shall be exempt from this administrative regulation.</w:t>
      </w:r>
    </w:p>
    <w:p>
      <w:pPr>
        <w:pStyle w:val="kar_section"/>
      </w:pPr>
      <w:r>
        <w:t xml:space="preserve">Section 7.</w:t>
      </w:r>
      <w:r>
        <w:t xml:space="preserve"> </w:t>
      </w:r>
      <w:r>
        <w:t xml:space="preserve">Variances. Variation with the standards and limitations contained in this administrative regulation, if supported by adequate technical information, may be considered by the cabinet on a case-by-case basis to allow for technological or economic circumstances which are unique to a source. Case-by-case alternatives approved by the cabinet, but not previously authorized by the U.S. EPA, shall be submitted to the U.S. EPA as a SIP revision.</w:t>
      </w:r>
    </w:p>
    <w:p>
      <w:pPr>
        <w:pStyle w:val="kar_history"/>
      </w:pPr>
      <w:r>
        <w:t xml:space="preserve">(7 Ky.R. 374; 545; eff. 2-4-1981; 18 Ky.R. 2638; 2949; 3353; eff. 6-24-1992; TAm eff. 8-9-2007; Crt eff. 11-21-2018; TAm eff. 2-14-2019.)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4b8e7ead224372" /><Relationship Type="http://schemas.openxmlformats.org/officeDocument/2006/relationships/settings" Target="/word/settings.xml" Id="Rec68dc738e874a78" /></Relationships>
</file>