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7d88ac34e44386" /></Relationships>
</file>

<file path=word/document.xml><?xml version="1.0" encoding="utf-8"?>
<w:document xmlns:w="http://schemas.openxmlformats.org/wordprocessingml/2006/main">
  <w:body>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CERTIFICATION STATEMENT: </w:t>
      </w:r>
    </w:p>
    <w:p>
      <w:pPr>
        <w:pStyle w:val="kar_markup_metadata"/>
      </w:pPr>
      <w:r>
        <w:t xml:space="preserve">NECESSITY, FUNCTION, AND CONFORMITY: </w:t>
      </w:r>
      <w:r>
        <w:t xml:space="preserve">KRS 16.040 provides that officers must be in good health and directs the commissioner to prescribe minimum physical requirements for appointment and to conduct tests and require physical examinations to determine the fitness of each applicant. This administrative regulation establishes the tests and examinations which are to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is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p>
      <w:pPr>
        <w:pStyle w:val="kar_history"/>
      </w:pPr>
      <w:r>
        <w:t xml:space="preserve">(19 Ky.R. 2184; eff. 5-10-93; Am. 22 Ky.R. 962; 1306; eff. 1-8-96; Certified to be amended; filing deadline 8-25-2021.)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762dab6834c84" /><Relationship Type="http://schemas.openxmlformats.org/officeDocument/2006/relationships/settings" Target="/word/settings.xml" Id="R763b31d58ca940d1" /></Relationships>
</file>