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8c8d9e2c54b00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806 KAR 3:110.</w:t>
      </w:r>
      <w:r>
        <w:t xml:space="preserve"> </w:t>
      </w:r>
      <w:r>
        <w:t xml:space="preserve">Authorization.</w:t>
      </w:r>
    </w:p>
    <w:p>
      <w:pPr>
        <w:pStyle w:val="kar_normal"/>
      </w:pPr>
      <w:r>
        <w:t xml:space="preserve">RELATES TO: </w:t>
      </w:r>
      <w:r>
        <w:t xml:space="preserve">KRS 304.3-070</w:t>
      </w:r>
    </w:p>
    <w:p>
      <w:pPr>
        <w:pStyle w:val="kar_normal"/>
      </w:pPr>
      <w:r>
        <w:t xml:space="preserve">STATUTORY AUTHORITY: </w:t>
      </w:r>
      <w:r>
        <w:t xml:space="preserve">KRS 304.2-110</w:t>
      </w:r>
    </w:p>
    <w:p>
      <w:pPr>
        <w:pStyle w:val="kar_normal"/>
      </w:pPr>
      <w:r>
        <w:t xml:space="preserve">NECESSITY, FUNCTION, AND CONFORMITY: </w:t>
      </w:r>
      <w:r>
        <w:t xml:space="preserve">KRS 304.3-070(1)(b) mandates that no insurer be authorized to transact a kind of insurance in this state unless duly authorized or qualified to transact a specific insurance in the state or county of its domicile. The function of this administrative regulation is to clarify a special circumstance to which such statute would not be applicable.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KRS 304.3-070(1)(b) is not applicable where the insurer requesting the authority is unable to write a particular kind of insurance in the state of its domicile because that kind of insurance is written there by a governmental monopoly.</w:t>
      </w:r>
    </w:p>
    <w:p>
      <w:pPr>
        <w:pStyle w:val="kar_history"/>
      </w:pPr>
      <w:r>
        <w:t xml:space="preserve">(I-3.12; 1 Ky.R. 857; eff. 5-14-75; Crt eff. 2-26-2020.)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4638b04e54fe8" /><Relationship Type="http://schemas.openxmlformats.org/officeDocument/2006/relationships/settings" Target="/word/settings.xml" Id="R1efac62236dc4781" /></Relationships>
</file>