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314a4287ec40aa" /></Relationships>
</file>

<file path=word/document.xml><?xml version="1.0" encoding="utf-8"?>
<w:document xmlns:w="http://schemas.openxmlformats.org/wordprocessingml/2006/main">
  <w:body>
    <w:p>
      <w:pPr>
        <w:pStyle w:val="kar_citation"/>
      </w:pPr>
      <w:r>
        <w:t>806 KAR 6:070.</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defined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w:t>
      </w:r>
      <w:r>
        <w:rPr>
          <w:vertAlign w:val="superscript"/>
        </w:rPr>
        <w:t xml:space="preserve">2012</w:t>
      </w:r>
      <w:r>
        <w:t xml:space="preserve">.</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w:t>
      </w:r>
      <w:r>
        <w:rPr>
          <w:vertAlign w:val="superscript"/>
        </w:rPr>
        <w:t xml:space="preserve">2012-n</w:t>
      </w:r>
      <w:r>
        <w:t xml:space="preserve">,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w:t>
      </w:r>
      <w:r>
        <w:rPr>
          <w:vertAlign w:val="subscript"/>
        </w:rPr>
        <w:t xml:space="preserve">x</w:t>
      </w:r>
      <w:r>
        <w:t xml:space="preserve">,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w:t>
      </w:r>
      <w:r>
        <w:rPr>
          <w:vertAlign w:val="subscript"/>
        </w:rPr>
        <w:t xml:space="preserve">x</w:t>
      </w:r>
      <w:r>
        <w:t xml:space="preserve">,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Which is completed by plan, with subtotals by mortality table, interest assumption, and valuation method which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furnish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corresponding order, with the necessary documentation, lists, tabulations, and working papers for policy contract obligations to be valued which shall be in readily accessible and auditable form at its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may question or reject any valuation made by the insurance supervisory official of another state which does not comply with the minimum standards as provided in KRS Chapter 304.6.</w:t>
      </w:r>
    </w:p>
    <w:p>
      <w:pPr>
        <w:pStyle w:val="kar_subsection"/>
      </w:pPr>
      <w:r>
        <w:t xml:space="preserve">(2)</w:t>
      </w:r>
      <w:r>
        <w:t xml:space="preserve"> </w:t>
      </w:r>
      <w:r>
        <w:t xml:space="preserve">Nature of liabilities. The liabilities covered by reserves for life insurance policies, annuities, and pure endowment contracts shall be generated by recognition of obligations to provide future sums of money, which are guaranteed in these contracts, and the standards of valuation set out in KRS 304.6-140 through 304.6-180, are set out in prospective terms. If these methods are not possible to apply directly, retrospective methods, using accumulations at appropriate rates of interest shall be acceptable; however, a company using these methods shall be prepared to demonstrate that these methods actually result in sufficient amounts to fund any obligations set out in its contracts as guarantees of future performance. Obligations which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are those for the period ending July 1 for each calendar year.</w:t>
      </w:r>
    </w:p>
    <w:p>
      <w:pPr>
        <w:pStyle w:val="kar_subsection"/>
      </w:pPr>
      <w:r>
        <w:t xml:space="preserve">(2)</w:t>
      </w:r>
      <w:r>
        <w:t xml:space="preserve"> </w:t>
      </w:r>
      <w:r>
        <w:t xml:space="preserve">The actuarial guidelines shall be used as published unless specifically prohibited by statute.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provided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provided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provided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provided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when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involving similar actions; or</w:t>
      </w:r>
    </w:p>
    <w:p>
      <w:pPr>
        <w:pStyle w:val="kar_subparagraph"/>
      </w:pPr>
      <w:r>
        <w:t xml:space="preserve">3.</w:t>
      </w:r>
      <w:r>
        <w:t xml:space="preserve"> </w:t>
      </w:r>
      <w:r>
        <w:t xml:space="preserve">Settlements of long-term disability claims where a temporary or life annuity has been used in lieu of continuing disability payments.</w:t>
      </w:r>
    </w:p>
    <w:p>
      <w:pPr>
        <w:pStyle w:val="kar_paragraph"/>
      </w:pPr>
      <w:r>
        <w:t xml:space="preserve">(f)</w:t>
      </w:r>
      <w:r>
        <w:t xml:space="preserve"> </w:t>
      </w:r>
      <w:r>
        <w:t xml:space="preserve">Except as provided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provided in paragraph (h) of this subsection, the 1983 GAM Table shall be used for determining the minimum standard of valuation for any annuity or pure endowment purchased on or after January 1, 1985,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5.25pt;height:30.00pt">
            <v:imagedata xmlns:r="http://schemas.openxmlformats.org/officeDocument/2006/relationships" r:id="Rc7c4e6c1073647c5"/>
          </v:shape>
        </w:pict>
      </w:r>
    </w:p>
    <w:p>
      <w:pPr>
        <w:pStyle w:val="kar_subparagraph"/>
      </w:pPr>
      <w:r>
        <w:t xml:space="preserve">2.</w:t>
      </w:r>
      <w:r>
        <w:t xml:space="preserve"> </w:t>
      </w:r>
      <w:r>
        <w:t xml:space="preserve">The resulting q</w:t>
      </w:r>
      <w:r>
        <w:rPr>
          <w:vertAlign w:val="subscript"/>
        </w:rPr>
        <w:t xml:space="preserve">x</w:t>
      </w:r>
      <w:r>
        <w:rPr>
          <w:vertAlign w:val="superscript"/>
        </w:rPr>
        <w:t xml:space="preserve">2012+n</w:t>
      </w:r>
      <w:r>
        <w:t xml:space="preserve">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w:t>
      </w:r>
      <w:r>
        <w:rPr>
          <w:vertAlign w:val="subscript"/>
        </w:rPr>
        <w:t xml:space="preserve">x</w:t>
      </w:r>
      <w:r>
        <w:rPr>
          <w:vertAlign w:val="superscript"/>
        </w:rPr>
        <w:t xml:space="preserve">1994</w:t>
      </w:r>
      <w:r>
        <w:t xml:space="preserve"> and AA</w:t>
      </w:r>
      <w:r>
        <w:rPr>
          <w:vertAlign w:val="subscript"/>
        </w:rPr>
        <w:t xml:space="preserve">x</w:t>
      </w:r>
      <w:r>
        <w:t xml:space="preserve"> are as specified in the 1994 GAR Table:</w: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However, if a change will produce a reserve that will be less than the amount under the old method, the company shall have the prior approval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outlined above, the additional burden of cost for additional time required by the staff of the Department of Insurance, or its department actuary, shall be borne by the life insurance company as provided for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when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1983;</w:t>
      </w:r>
    </w:p>
    <w:p>
      <w:pPr>
        <w:pStyle w:val="kar_paragraph"/>
      </w:pPr>
      <w:r>
        <w:t xml:space="preserve">(b)</w:t>
      </w:r>
      <w:r>
        <w:t xml:space="preserve"> </w:t>
      </w:r>
      <w:r>
        <w:t xml:space="preserve">"1983 GAM Table", 1983;</w:t>
      </w:r>
    </w:p>
    <w:p>
      <w:pPr>
        <w:pStyle w:val="kar_paragraph"/>
      </w:pPr>
      <w:r>
        <w:t xml:space="preserve">(c)</w:t>
      </w:r>
      <w:r>
        <w:t xml:space="preserve"> </w:t>
      </w:r>
      <w:r>
        <w:t xml:space="preserve">"1994 GAR Table", 9/2014;</w:t>
      </w:r>
    </w:p>
    <w:p>
      <w:pPr>
        <w:pStyle w:val="kar_paragraph"/>
      </w:pPr>
      <w:r>
        <w:t xml:space="preserve">(d)</w:t>
      </w:r>
      <w:r>
        <w:t xml:space="preserve"> </w:t>
      </w:r>
      <w:r>
        <w:t xml:space="preserve">"2012 Individual Annuity Mortality Period (2012 IAM Period) Table", 9/2014;</w:t>
      </w:r>
    </w:p>
    <w:p>
      <w:pPr>
        <w:pStyle w:val="kar_paragraph"/>
      </w:pPr>
      <w:r>
        <w:t xml:space="preserve">(e)</w:t>
      </w:r>
      <w:r>
        <w:t xml:space="preserve"> </w:t>
      </w:r>
      <w:r>
        <w:t xml:space="preserve">"2012 Individual Annuity Reserve Table (2012 IAR Table)", 9/2014;</w:t>
      </w:r>
    </w:p>
    <w:p>
      <w:pPr>
        <w:pStyle w:val="kar_paragraph"/>
      </w:pPr>
      <w:r>
        <w:t xml:space="preserve">(f)</w:t>
      </w:r>
      <w:r>
        <w:t xml:space="preserve"> </w:t>
      </w:r>
      <w:r>
        <w:t xml:space="preserve">"Annuity 2000 Mortality Table", 2000;</w:t>
      </w:r>
    </w:p>
    <w:p>
      <w:pPr>
        <w:pStyle w:val="kar_paragraph"/>
      </w:pPr>
      <w:r>
        <w:t xml:space="preserve">(g)</w:t>
      </w:r>
      <w:r>
        <w:t xml:space="preserve"> </w:t>
      </w:r>
      <w:r>
        <w:t xml:space="preserve">"Projection Scale AA (Scale AA)", 9/2014;</w:t>
      </w:r>
    </w:p>
    <w:p>
      <w:pPr>
        <w:pStyle w:val="kar_paragraph"/>
      </w:pPr>
      <w:r>
        <w:t xml:space="preserve">(h)</w:t>
      </w:r>
      <w:r>
        <w:t xml:space="preserve"> </w:t>
      </w:r>
      <w:r>
        <w:t xml:space="preserve">"Projection Scale G2 (Scale G2)", 9/2014; and</w:t>
      </w:r>
    </w:p>
    <w:p>
      <w:pPr>
        <w:pStyle w:val="kar_paragraph"/>
      </w:pPr>
      <w:r>
        <w:t xml:space="preserve">(i)</w:t>
      </w:r>
      <w:r>
        <w:t xml:space="preserve"> </w:t>
      </w:r>
      <w:r>
        <w:t xml:space="preserve">"Example: Rounding Calculations for Mortality Table Construction for 2012 IAR Table", 9/2014.</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history"/>
      </w:pPr>
      <w:r>
        <w:t xml:space="preserve">(11 Ky.R. 679; eff. 11-13-1984; 31 Ky.R. 853; 907; 1148; eff. 1-4-2005; 41 Ky.R. 864; 1341; eff. 1-5-2015; Certified to be Amended, filing deadline 11-27-2022; TAm eff. 10-6-2021.)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7741b07cd42df" /><Relationship Type="http://schemas.openxmlformats.org/officeDocument/2006/relationships/image" Target="/media/image.png" Id="Rc7c4e6c1073647c5" /><Relationship Type="http://schemas.openxmlformats.org/officeDocument/2006/relationships/settings" Target="/word/settings.xml" Id="R45408e26d2ea4155" /></Relationships>
</file>