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9a8c77f41445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10:090.</w:t>
      </w:r>
      <w:r>
        <w:t xml:space="preserve"> </w:t>
      </w:r>
      <w:r>
        <w:t xml:space="preserve">Issuer's reports.</w:t>
      </w:r>
    </w:p>
    <w:p>
      <w:pPr>
        <w:pStyle w:val="kar_normal"/>
      </w:pPr>
      <w:r>
        <w:t xml:space="preserve">RELATES TO: </w:t>
      </w:r>
      <w:r>
        <w:t xml:space="preserve">KRS 292.360, 15 U.S.C. 78m, 78o(d)</w:t>
      </w:r>
    </w:p>
    <w:p>
      <w:pPr>
        <w:pStyle w:val="kar_normal"/>
      </w:pPr>
      <w:r>
        <w:t xml:space="preserve">STATUTORY AUTHORITY: </w:t>
      </w:r>
      <w:r>
        <w:t xml:space="preserve">KRS 292.500(3)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292.500(3) authorizes the commissioner to promulgate administrative regulations necessary to carry out the provisions of KRS Chapter 292. KRS 292.360 establishes procedures by which a security for which a federal registration statement has been filed in connection with the same offering to register by coordination. This administrative regulation establishes a procedure for an issuer to keep the registration statement current beyond the one (1) year period of registration.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The person who files a registration statement pursuant to KRS 292.360 shall keep the registration statement current by filing the following: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copy of the issuer's annual report on Form 10-K as filed with the Securities and Exchange Commission pursuant to 15 U.S.C. 78m or 78o(d), or a document containing the information required by 15 U.S.C. 78m or 78o(d);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statement of the aggregate amount of securities sold in the state of Kentucky during the preceding twelve (12) month period; and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 posteffective amendment to the issuer's federal registration statement not already on file with the office.</w:t>
      </w:r>
    </w:p>
    <w:p>
      <w:pPr>
        <w:pStyle w:val="kar_history"/>
      </w:pPr>
      <w:r>
        <w:t xml:space="preserve">(SR 380(7)-3; 1 Ky.R. 1095; eff. 6-11-75; Am. 9 Ky.R. 46; eff. 8-11-82; 11 Ky.R. 1909; eff. 7-9-85; 24 Ky.R. 2178; 25 Ky.R. 87; eff. 6-25-98; TAm eff. 11-7-2012; Crt eff. 2-27-2020.)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b07ef5f8a4555" /><Relationship Type="http://schemas.openxmlformats.org/officeDocument/2006/relationships/settings" Target="/word/settings.xml" Id="Rbd0bb56ca0d44fd0" /></Relationships>
</file>