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b87113b41c14bd7" /></Relationships>
</file>

<file path=word/document.xml><?xml version="1.0" encoding="utf-8"?>
<w:document xmlns:w="http://schemas.openxmlformats.org/wordprocessingml/2006/main">
  <w:body>
    <w:p>
      <w:pPr>
        <w:pStyle w:val="kar_citation"/>
      </w:pPr>
      <w:r>
        <w:t>820 KAR 1:125.</w:t>
      </w:r>
      <w:r>
        <w:t xml:space="preserve"> </w:t>
      </w:r>
      <w:r>
        <w:t xml:space="preserve">Gaming inspections.</w:t>
      </w:r>
    </w:p>
    <w:p>
      <w:pPr>
        <w:pStyle w:val="kar_normal"/>
      </w:pPr>
      <w:r>
        <w:t xml:space="preserve">RELATES TO: </w:t>
      </w:r>
      <w:r>
        <w:t xml:space="preserve">KRS 238.515, 238.560</w:t>
      </w:r>
    </w:p>
    <w:p>
      <w:pPr>
        <w:pStyle w:val="kar_normal"/>
      </w:pPr>
      <w:r>
        <w:t xml:space="preserve">STATUTORY AUTHORITY: </w:t>
      </w:r>
      <w:r>
        <w:t xml:space="preserve">KRS 238.515, 238.560</w:t>
      </w:r>
    </w:p>
    <w:p>
      <w:pPr>
        <w:pStyle w:val="kar_normal"/>
      </w:pPr>
      <w:r>
        <w:t xml:space="preserve">CERTIFICATION STATEMENT: </w:t>
      </w:r>
    </w:p>
    <w:p>
      <w:pPr>
        <w:pStyle w:val="kar_normal"/>
      </w:pPr>
      <w:r>
        <w:t xml:space="preserve">NECESSITY, FUNCTION, AND CONFORMITY: </w:t>
      </w:r>
      <w:r>
        <w:t xml:space="preserve">KRS 238.515 authorizes the Department of Charitable Gaming to establish and enforce reasonable standards for the conduct of charitable gaming. KRS 238.560 authorizes the department to inspect and examine charitable gaming operations. This administrative regulation establishes how the department will investigate the conduct of charitable gaming through inspections.</w:t>
      </w:r>
    </w:p>
    <w:p>
      <w:pPr>
        <w:pStyle w:val="kar_section"/>
      </w:pPr>
      <w:r>
        <w:t xml:space="preserve">Section 1.</w:t>
      </w:r>
      <w:r>
        <w:t xml:space="preserve"> </w:t>
      </w:r>
      <w:r>
        <w:t xml:space="preserve">Inspections. A compliance officer, investigator, auditor, or any other employee authorized by the department may, to ensure compliance with all statutes and administrative regulations relating to charitable gaming, inspect the conduct of gaming by the following:</w:t>
      </w:r>
    </w:p>
    <w:p>
      <w:pPr>
        <w:pStyle w:val="kar_subsection"/>
      </w:pPr>
      <w:r>
        <w:t xml:space="preserve">(1)</w:t>
      </w:r>
      <w:r>
        <w:t xml:space="preserve"> </w:t>
      </w:r>
      <w:r>
        <w:t xml:space="preserve">Exempt organizations;</w:t>
      </w:r>
    </w:p>
    <w:p>
      <w:pPr>
        <w:pStyle w:val="kar_subsection"/>
      </w:pPr>
      <w:r>
        <w:t xml:space="preserve">(2)</w:t>
      </w:r>
      <w:r>
        <w:t xml:space="preserve"> </w:t>
      </w:r>
      <w:r>
        <w:t xml:space="preserve">Licensed charitable organizations;</w:t>
      </w:r>
    </w:p>
    <w:p>
      <w:pPr>
        <w:pStyle w:val="kar_subsection"/>
      </w:pPr>
      <w:r>
        <w:t xml:space="preserve">(3)</w:t>
      </w:r>
      <w:r>
        <w:t xml:space="preserve"> </w:t>
      </w:r>
      <w:r>
        <w:t xml:space="preserve">Licensed charitable gaming facilities;</w:t>
      </w:r>
    </w:p>
    <w:p>
      <w:pPr>
        <w:pStyle w:val="kar_subsection"/>
      </w:pPr>
      <w:r>
        <w:t xml:space="preserve">(4)</w:t>
      </w:r>
      <w:r>
        <w:t xml:space="preserve"> </w:t>
      </w:r>
      <w:r>
        <w:t xml:space="preserve">Licensed manufacturers; and</w:t>
      </w:r>
    </w:p>
    <w:p>
      <w:pPr>
        <w:pStyle w:val="kar_subsection"/>
      </w:pPr>
      <w:r>
        <w:t xml:space="preserve">(5)</w:t>
      </w:r>
      <w:r>
        <w:t xml:space="preserve"> </w:t>
      </w:r>
      <w:r>
        <w:t xml:space="preserve">Licensed distributors.</w:t>
      </w:r>
    </w:p>
    <w:p>
      <w:pPr>
        <w:pStyle w:val="kar_history"/>
      </w:pPr>
      <w:r>
        <w:t xml:space="preserve">(32 Ky.R. 824; 1300; 1662; eff. 3-31-2006; 42 Ky.R. 959; 1780; eff. 1-4-2016; 44 Ky.R. 2691; eff. 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b26da7a54e4732" /><Relationship Type="http://schemas.openxmlformats.org/officeDocument/2006/relationships/settings" Target="/word/settings.xml" Id="Rb2ec37e5490e40bd" /></Relationships>
</file>