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e987a9975426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16:020.</w:t>
      </w:r>
      <w:r>
        <w:t xml:space="preserve"> </w:t>
      </w:r>
      <w:r>
        <w:t xml:space="preserve">Qualified exemption organization under KRS 141.040(8)(a)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cd0adb81d417e" /><Relationship Type="http://schemas.openxmlformats.org/officeDocument/2006/relationships/settings" Target="/word/settings.xml" Id="R0f2cce26387e488d" /></Relationships>
</file>